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B5" w:rsidRPr="005F5723" w:rsidRDefault="00FF78B5" w:rsidP="00AD7D29">
      <w:pPr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ที่ บล</w:t>
      </w:r>
      <w:r w:rsidR="000B3D19" w:rsidRPr="005F5723">
        <w:rPr>
          <w:rFonts w:ascii="DilleniaUPC" w:hAnsi="DilleniaUPC" w:cs="DilleniaUPC"/>
          <w:sz w:val="30"/>
          <w:szCs w:val="30"/>
        </w:rPr>
        <w:t xml:space="preserve">. </w:t>
      </w:r>
      <w:r w:rsidR="0027036D">
        <w:rPr>
          <w:rFonts w:ascii="DilleniaUPC" w:hAnsi="DilleniaUPC" w:cs="DilleniaUPC" w:hint="cs"/>
          <w:sz w:val="30"/>
          <w:szCs w:val="30"/>
          <w:cs/>
        </w:rPr>
        <w:t>110</w:t>
      </w:r>
      <w:r w:rsidR="00AD7D29" w:rsidRPr="005F5723">
        <w:rPr>
          <w:rFonts w:ascii="DilleniaUPC" w:hAnsi="DilleniaUPC" w:cs="DilleniaUPC"/>
          <w:sz w:val="30"/>
          <w:szCs w:val="30"/>
        </w:rPr>
        <w:t>/</w:t>
      </w:r>
      <w:r w:rsidR="005F5723">
        <w:rPr>
          <w:rFonts w:ascii="DilleniaUPC" w:hAnsi="DilleniaUPC" w:cs="DilleniaUPC" w:hint="cs"/>
          <w:sz w:val="30"/>
          <w:szCs w:val="30"/>
          <w:cs/>
        </w:rPr>
        <w:t>2557</w:t>
      </w:r>
    </w:p>
    <w:p w:rsidR="00AD7D29" w:rsidRPr="005F5723" w:rsidRDefault="00AD7D29" w:rsidP="00AD7D29">
      <w:pPr>
        <w:spacing w:after="0" w:line="240" w:lineRule="auto"/>
        <w:rPr>
          <w:rFonts w:ascii="DilleniaUPC" w:hAnsi="DilleniaUPC" w:cs="DilleniaUPC"/>
          <w:sz w:val="30"/>
          <w:szCs w:val="30"/>
        </w:rPr>
      </w:pPr>
    </w:p>
    <w:p w:rsidR="00FF78B5" w:rsidRPr="005F5723" w:rsidRDefault="00FF78B5" w:rsidP="00AD7D29">
      <w:pPr>
        <w:spacing w:after="0" w:line="240" w:lineRule="auto"/>
        <w:jc w:val="center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</w:rPr>
        <w:tab/>
      </w:r>
      <w:r w:rsidRPr="005F5723">
        <w:rPr>
          <w:rFonts w:ascii="DilleniaUPC" w:hAnsi="DilleniaUPC" w:cs="DilleniaUPC"/>
          <w:sz w:val="30"/>
          <w:szCs w:val="30"/>
        </w:rPr>
        <w:tab/>
      </w:r>
      <w:r w:rsidRPr="005F5723">
        <w:rPr>
          <w:rFonts w:ascii="DilleniaUPC" w:hAnsi="DilleniaUPC" w:cs="DilleniaUPC"/>
          <w:sz w:val="30"/>
          <w:szCs w:val="30"/>
        </w:rPr>
        <w:tab/>
      </w:r>
      <w:r w:rsidR="00AD7D29" w:rsidRPr="005F5723">
        <w:rPr>
          <w:rFonts w:ascii="DilleniaUPC" w:hAnsi="DilleniaUPC" w:cs="DilleniaUPC"/>
          <w:sz w:val="30"/>
          <w:szCs w:val="30"/>
        </w:rPr>
        <w:tab/>
      </w:r>
      <w:r w:rsidR="004C16F8" w:rsidRPr="005F5723">
        <w:rPr>
          <w:rFonts w:ascii="DilleniaUPC" w:hAnsi="DilleniaUPC" w:cs="DilleniaUPC"/>
          <w:sz w:val="30"/>
          <w:szCs w:val="30"/>
          <w:cs/>
        </w:rPr>
        <w:t>1</w:t>
      </w:r>
      <w:r w:rsidRPr="005F5723">
        <w:rPr>
          <w:rFonts w:ascii="DilleniaUPC" w:hAnsi="DilleniaUPC" w:cs="DilleniaUPC"/>
          <w:sz w:val="30"/>
          <w:szCs w:val="30"/>
        </w:rPr>
        <w:t xml:space="preserve"> </w:t>
      </w:r>
      <w:r w:rsidR="00DE7FFC">
        <w:rPr>
          <w:rFonts w:ascii="DilleniaUPC" w:hAnsi="DilleniaUPC" w:cs="DilleniaUPC" w:hint="cs"/>
          <w:sz w:val="30"/>
          <w:szCs w:val="30"/>
          <w:cs/>
        </w:rPr>
        <w:t>เมษายน</w:t>
      </w:r>
      <w:r w:rsidRPr="005F5723">
        <w:rPr>
          <w:rFonts w:ascii="DilleniaUPC" w:hAnsi="DilleniaUPC" w:cs="DilleniaUPC"/>
          <w:sz w:val="30"/>
          <w:szCs w:val="30"/>
          <w:cs/>
        </w:rPr>
        <w:t xml:space="preserve"> </w:t>
      </w:r>
      <w:r w:rsidR="005F5723">
        <w:rPr>
          <w:rFonts w:ascii="DilleniaUPC" w:hAnsi="DilleniaUPC" w:cs="DilleniaUPC" w:hint="cs"/>
          <w:sz w:val="30"/>
          <w:szCs w:val="30"/>
          <w:cs/>
        </w:rPr>
        <w:t>2557</w:t>
      </w:r>
    </w:p>
    <w:p w:rsidR="00AD7D29" w:rsidRPr="005F5723" w:rsidRDefault="00AD7D29" w:rsidP="00AD7D29">
      <w:pPr>
        <w:tabs>
          <w:tab w:val="center" w:pos="5812"/>
        </w:tabs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</w:p>
    <w:p w:rsidR="00C73261" w:rsidRDefault="00FF78B5" w:rsidP="005F5723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เรื่อง</w:t>
      </w:r>
      <w:r w:rsidRPr="005F5723">
        <w:rPr>
          <w:rFonts w:ascii="DilleniaUPC" w:hAnsi="DilleniaUPC" w:cs="DilleniaUPC"/>
          <w:sz w:val="30"/>
          <w:szCs w:val="30"/>
          <w:cs/>
        </w:rPr>
        <w:tab/>
        <w:t>ซักซ้อมความเข้าใจ</w:t>
      </w:r>
      <w:r w:rsidR="00C73261" w:rsidRPr="005F5723">
        <w:rPr>
          <w:rFonts w:ascii="DilleniaUPC" w:hAnsi="DilleniaUPC" w:cs="DilleniaUPC"/>
          <w:sz w:val="30"/>
          <w:szCs w:val="30"/>
          <w:cs/>
        </w:rPr>
        <w:t>เกี่ยวกับการประเมินความเหมาะสมในการลงทุนหรือการทำธุรกรรมของลูกค้า (</w:t>
      </w:r>
      <w:r w:rsidR="00C73261" w:rsidRPr="005F5723">
        <w:rPr>
          <w:rFonts w:ascii="DilleniaUPC" w:hAnsi="DilleniaUPC" w:cs="DilleniaUPC"/>
          <w:sz w:val="30"/>
          <w:szCs w:val="30"/>
        </w:rPr>
        <w:t>Suitability Test</w:t>
      </w:r>
      <w:r w:rsidR="00C73261" w:rsidRPr="005F5723">
        <w:rPr>
          <w:rFonts w:ascii="DilleniaUPC" w:hAnsi="DilleniaUPC" w:cs="DilleniaUPC"/>
          <w:sz w:val="30"/>
          <w:szCs w:val="30"/>
          <w:cs/>
        </w:rPr>
        <w:t>)</w:t>
      </w:r>
    </w:p>
    <w:p w:rsidR="005F5723" w:rsidRPr="005F5723" w:rsidRDefault="005F5723" w:rsidP="005F5723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0B3D19" w:rsidRPr="005F5723" w:rsidRDefault="00FF78B5" w:rsidP="005F5723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เรียน</w:t>
      </w:r>
      <w:r w:rsidRPr="005F5723">
        <w:rPr>
          <w:rFonts w:ascii="DilleniaUPC" w:hAnsi="DilleniaUPC" w:cs="DilleniaUPC"/>
          <w:sz w:val="30"/>
          <w:szCs w:val="30"/>
          <w:cs/>
        </w:rPr>
        <w:tab/>
        <w:t xml:space="preserve">กรรมการผู้จัดการ </w:t>
      </w:r>
    </w:p>
    <w:p w:rsidR="00FF78B5" w:rsidRDefault="00FF78B5" w:rsidP="005F5723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บริษัทสมาชิกสมาคมบริษัทหลักทรัพย์ไทย</w:t>
      </w:r>
    </w:p>
    <w:p w:rsidR="005F5723" w:rsidRPr="005F5723" w:rsidRDefault="005F5723" w:rsidP="005F5723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</w:p>
    <w:p w:rsidR="00FF78B5" w:rsidRPr="005F5723" w:rsidRDefault="00CA4BEA" w:rsidP="007B4207">
      <w:pPr>
        <w:spacing w:after="300" w:line="240" w:lineRule="auto"/>
        <w:ind w:left="720" w:hanging="720"/>
        <w:jc w:val="thaiDistribute"/>
        <w:rPr>
          <w:rFonts w:ascii="DilleniaUPC" w:hAnsi="DilleniaUPC" w:cs="DilleniaUPC"/>
          <w:sz w:val="30"/>
          <w:szCs w:val="30"/>
          <w:cs/>
        </w:rPr>
      </w:pPr>
      <w:r w:rsidRPr="005F5723">
        <w:rPr>
          <w:rFonts w:ascii="DilleniaUPC" w:hAnsi="DilleniaUPC" w:cs="DilleniaUPC"/>
          <w:sz w:val="30"/>
          <w:szCs w:val="30"/>
          <w:cs/>
        </w:rPr>
        <w:t>อ้างถึง</w:t>
      </w:r>
      <w:r w:rsidRPr="005F5723">
        <w:rPr>
          <w:rFonts w:ascii="DilleniaUPC" w:hAnsi="DilleniaUPC" w:cs="DilleniaUPC"/>
          <w:sz w:val="30"/>
          <w:szCs w:val="30"/>
          <w:cs/>
        </w:rPr>
        <w:tab/>
      </w:r>
      <w:r w:rsidR="00C73261" w:rsidRPr="005F5723">
        <w:rPr>
          <w:rFonts w:ascii="DilleniaUPC" w:hAnsi="DilleniaUPC" w:cs="DilleniaUPC"/>
          <w:sz w:val="30"/>
          <w:szCs w:val="30"/>
          <w:cs/>
        </w:rPr>
        <w:t>ประกาศคณะกรรมการกำกับตลาดทุน</w:t>
      </w:r>
      <w:r w:rsidR="00C73261" w:rsidRPr="005F5723">
        <w:rPr>
          <w:rFonts w:ascii="DilleniaUPC" w:hAnsi="DilleniaUPC" w:cs="DilleniaUPC"/>
          <w:sz w:val="30"/>
          <w:szCs w:val="30"/>
        </w:rPr>
        <w:t xml:space="preserve"> </w:t>
      </w:r>
      <w:r w:rsidR="00C73261" w:rsidRPr="005F5723">
        <w:rPr>
          <w:rFonts w:ascii="DilleniaUPC" w:hAnsi="DilleniaUPC" w:cs="DilleniaUPC"/>
          <w:sz w:val="30"/>
          <w:szCs w:val="30"/>
          <w:cs/>
        </w:rPr>
        <w:t>ที่</w:t>
      </w:r>
      <w:r w:rsidR="00C73261" w:rsidRPr="005F5723">
        <w:rPr>
          <w:rFonts w:ascii="DilleniaUPC" w:hAnsi="DilleniaUPC" w:cs="DilleniaUPC"/>
          <w:sz w:val="30"/>
          <w:szCs w:val="30"/>
        </w:rPr>
        <w:t xml:space="preserve"> </w:t>
      </w:r>
      <w:r w:rsidR="00C73261" w:rsidRPr="005F5723">
        <w:rPr>
          <w:rFonts w:ascii="DilleniaUPC" w:hAnsi="DilleniaUPC" w:cs="DilleniaUPC"/>
          <w:sz w:val="30"/>
          <w:szCs w:val="30"/>
          <w:cs/>
        </w:rPr>
        <w:t xml:space="preserve">ทธ. </w:t>
      </w:r>
      <w:r w:rsidR="005F5723" w:rsidRPr="005F5723">
        <w:rPr>
          <w:rFonts w:ascii="DilleniaUPC" w:eastAsia="Times New Roman" w:hAnsi="DilleniaUPC" w:cs="DilleniaUPC"/>
          <w:sz w:val="30"/>
          <w:szCs w:val="30"/>
          <w:cs/>
        </w:rPr>
        <w:t>35/2556</w:t>
      </w:r>
      <w:r w:rsidR="00C73261" w:rsidRPr="005F5723">
        <w:rPr>
          <w:rFonts w:ascii="DilleniaUPC" w:hAnsi="DilleniaUPC" w:cs="DilleniaUPC"/>
          <w:sz w:val="30"/>
          <w:szCs w:val="30"/>
        </w:rPr>
        <w:t xml:space="preserve"> </w:t>
      </w:r>
      <w:r w:rsidR="00C73261" w:rsidRPr="005F5723">
        <w:rPr>
          <w:rFonts w:ascii="DilleniaUPC" w:hAnsi="DilleniaUPC" w:cs="DilleniaUPC"/>
          <w:sz w:val="30"/>
          <w:szCs w:val="30"/>
          <w:cs/>
        </w:rPr>
        <w:t xml:space="preserve">เรื่อง มาตรฐานการประกอบธุรกิจ โครงสร้างการบริหารงาน ระบบงาน และการให้บริการของผู้ประกอบธุรกิจหลักทรัพย์ และธุรกิจสัญญาซื้อขายล่วงหน้า </w:t>
      </w:r>
    </w:p>
    <w:p w:rsidR="00E22292" w:rsidRPr="005F5723" w:rsidRDefault="00FF78B5" w:rsidP="005E64D1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ตามที่</w:t>
      </w:r>
      <w:r w:rsidR="00796A4B" w:rsidRPr="005F5723">
        <w:rPr>
          <w:rFonts w:ascii="DilleniaUPC" w:hAnsi="DilleniaUPC" w:cs="DilleniaUPC"/>
          <w:sz w:val="30"/>
          <w:szCs w:val="30"/>
          <w:cs/>
        </w:rPr>
        <w:t>คณะกรรมการกำกับตลาดทุน</w:t>
      </w:r>
      <w:r w:rsidR="00796A4B" w:rsidRPr="005F5723">
        <w:rPr>
          <w:rFonts w:ascii="DilleniaUPC" w:hAnsi="DilleniaUPC" w:cs="DilleniaUPC"/>
          <w:sz w:val="30"/>
          <w:szCs w:val="30"/>
        </w:rPr>
        <w:t xml:space="preserve"> </w:t>
      </w:r>
      <w:r w:rsidR="00E22292" w:rsidRPr="005F5723">
        <w:rPr>
          <w:rFonts w:ascii="DilleniaUPC" w:hAnsi="DilleniaUPC" w:cs="DilleniaUPC"/>
          <w:sz w:val="30"/>
          <w:szCs w:val="30"/>
          <w:cs/>
        </w:rPr>
        <w:t>ได้กำหนดหลักเกณฑ์</w:t>
      </w:r>
      <w:r w:rsidR="00796A4B" w:rsidRPr="005F5723">
        <w:rPr>
          <w:rFonts w:ascii="DilleniaUPC" w:hAnsi="DilleniaUPC" w:cs="DilleniaUPC"/>
          <w:sz w:val="30"/>
          <w:szCs w:val="30"/>
          <w:cs/>
        </w:rPr>
        <w:t>เกี่ยวกับการประเมินความเหมาะสมในการลงทุนหรือการ</w:t>
      </w:r>
      <w:r w:rsidR="005F572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96A4B" w:rsidRPr="005F5723">
        <w:rPr>
          <w:rFonts w:ascii="DilleniaUPC" w:hAnsi="DilleniaUPC" w:cs="DilleniaUPC"/>
          <w:sz w:val="30"/>
          <w:szCs w:val="30"/>
          <w:cs/>
        </w:rPr>
        <w:t>ทำธุรกรรมของลูกค้า (</w:t>
      </w:r>
      <w:r w:rsidR="00796A4B" w:rsidRPr="005F5723">
        <w:rPr>
          <w:rFonts w:ascii="DilleniaUPC" w:hAnsi="DilleniaUPC" w:cs="DilleniaUPC"/>
          <w:sz w:val="30"/>
          <w:szCs w:val="30"/>
        </w:rPr>
        <w:t>Suitability Test</w:t>
      </w:r>
      <w:r w:rsidR="00796A4B" w:rsidRPr="005F5723">
        <w:rPr>
          <w:rFonts w:ascii="DilleniaUPC" w:hAnsi="DilleniaUPC" w:cs="DilleniaUPC"/>
          <w:sz w:val="30"/>
          <w:szCs w:val="30"/>
          <w:cs/>
        </w:rPr>
        <w:t xml:space="preserve">) </w:t>
      </w:r>
      <w:r w:rsidR="005E64D1" w:rsidRPr="005F5723">
        <w:rPr>
          <w:rFonts w:ascii="DilleniaUPC" w:hAnsi="DilleniaUPC" w:cs="DilleniaUPC"/>
          <w:sz w:val="30"/>
          <w:szCs w:val="30"/>
          <w:cs/>
        </w:rPr>
        <w:t xml:space="preserve">ที่จะมีผลบังคับใช้ในวันที่ 1 เมษายน 2557 โดยมีสาระสำคัญกำหนดให้ ผู้ประกอบธุรกิจต้องรวบรวมและประเมินข้อมูลของลูกค้า และความเสี่ยงที่ยอมรับได้ หากลูกค้าปฏิเสธที่จะให้ข้อมูล หรือข้อมูลที่มีอยู่นั้นไม่เพียงพอหรือไม่เป็นปัจจุบันอย่างมีนัยสำคัญ หรือมีเหตุอันควรสงสัยอื่นใด ที่อาจทำให้ไม่สามารถระบุตัวตนที่แท้จริงของลูกค้าหรือผู้รับประโยชน์ที่แท้จริงได้ ให้ปฏิเสธการให้บริการ รวมถึงกำหนดให้ผู้ประกอบธุรกิจปฏิเสธการให้บริการ กรณีที่ไม่สามารถประเมินความเหมาะสมในการลงทุนหรือการทำธุรกรรมของลูกค้าได้ รวมถึงหากการประเมินแสดงผลว่าลูกค้าไม่เหมาะสมที่จะลงทุนหรือทำธุรกรรมในผลิตภัณฑ์ในตลาดทุนประเภทใดให้แจ้งให้ลูกค้าทราบ หากลูกค้ายืนยันที่จะลงทุนหรือทำธุรกรรม ให้จัดให้มีคำแนะนำเกี่ยวกับลักษณะ ความเสี่ยง และผลตอบแทนของการลงทุนหรือการทำธุรกรรมเพิ่มเติมให้ลูกค้าทบทวนหรือพิจารณาอีกครั้ง หากยังคงยืนยันต้องจัดให้ลูกค้าลงนามยอมรับความเสี่ยงที่อาจเกิดขึ้นจากการลงทุนหรือทำธุรกรรมดังกล่าว </w:t>
      </w:r>
      <w:r w:rsidR="00E22292" w:rsidRPr="005F5723">
        <w:rPr>
          <w:rFonts w:ascii="DilleniaUPC" w:hAnsi="DilleniaUPC" w:cs="DilleniaUPC"/>
          <w:sz w:val="30"/>
          <w:szCs w:val="30"/>
          <w:cs/>
        </w:rPr>
        <w:t>รายละเอียดตามหนังสือที่อ้างถึงนั้น</w:t>
      </w:r>
    </w:p>
    <w:p w:rsidR="00AD7D29" w:rsidRPr="005F5723" w:rsidRDefault="00AD7D29" w:rsidP="00AD7D29">
      <w:pPr>
        <w:spacing w:after="0" w:line="240" w:lineRule="auto"/>
        <w:jc w:val="thaiDistribute"/>
        <w:rPr>
          <w:rFonts w:ascii="DilleniaUPC" w:hAnsi="DilleniaUPC" w:cs="DilleniaUPC"/>
          <w:sz w:val="20"/>
          <w:szCs w:val="20"/>
        </w:rPr>
      </w:pPr>
    </w:p>
    <w:p w:rsidR="00CA4BEA" w:rsidRPr="005F5723" w:rsidRDefault="005E64D1" w:rsidP="00AD7D29">
      <w:pPr>
        <w:spacing w:after="0" w:line="240" w:lineRule="auto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ab/>
        <w:t>เพื่อให้</w:t>
      </w:r>
      <w:r w:rsidR="00E22292" w:rsidRPr="005F5723">
        <w:rPr>
          <w:rFonts w:ascii="DilleniaUPC" w:hAnsi="DilleniaUPC" w:cs="DilleniaUPC"/>
          <w:sz w:val="30"/>
          <w:szCs w:val="30"/>
          <w:cs/>
        </w:rPr>
        <w:t>สมาชิกมีความเข้าใจที่ตรงกันและถือปฏิบัติตามหลักเกณฑ์ที่ประกาศกำหนดได้อย่างถูกต้อง</w:t>
      </w:r>
      <w:r w:rsidR="00AC5DC5" w:rsidRPr="005F5723">
        <w:rPr>
          <w:rFonts w:ascii="DilleniaUPC" w:hAnsi="DilleniaUPC" w:cs="DilleniaUPC"/>
          <w:sz w:val="30"/>
          <w:szCs w:val="30"/>
          <w:cs/>
        </w:rPr>
        <w:t xml:space="preserve"> รวมทั้งเกิดความยืดหยุ่นในการปฏิบัติงาน สมาคม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>บริษัทหลักทรัพย์ไทย (</w:t>
      </w:r>
      <w:r w:rsidR="000C5BA2" w:rsidRPr="005F5723">
        <w:rPr>
          <w:rFonts w:ascii="DilleniaUPC" w:hAnsi="DilleniaUPC" w:cs="DilleniaUPC"/>
          <w:sz w:val="30"/>
          <w:szCs w:val="30"/>
        </w:rPr>
        <w:t>“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>สมาคม</w:t>
      </w:r>
      <w:r w:rsidR="000C5BA2" w:rsidRPr="005F5723">
        <w:rPr>
          <w:rFonts w:ascii="DilleniaUPC" w:hAnsi="DilleniaUPC" w:cs="DilleniaUPC"/>
          <w:sz w:val="30"/>
          <w:szCs w:val="30"/>
        </w:rPr>
        <w:t>”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 xml:space="preserve">) </w:t>
      </w:r>
      <w:r w:rsidR="004A79EF" w:rsidRPr="005F5723">
        <w:rPr>
          <w:rFonts w:ascii="DilleniaUPC" w:hAnsi="DilleniaUPC" w:cs="DilleniaUPC"/>
          <w:sz w:val="30"/>
          <w:szCs w:val="30"/>
          <w:cs/>
        </w:rPr>
        <w:t>โดย</w:t>
      </w:r>
      <w:r w:rsidR="00AC5DC5" w:rsidRPr="005F5723">
        <w:rPr>
          <w:rFonts w:ascii="DilleniaUPC" w:hAnsi="DilleniaUPC" w:cs="DilleniaUPC"/>
          <w:sz w:val="30"/>
          <w:szCs w:val="30"/>
          <w:cs/>
        </w:rPr>
        <w:t>ผ่านการหารือกับ</w:t>
      </w:r>
      <w:r w:rsidR="004A79EF" w:rsidRPr="005F5723">
        <w:rPr>
          <w:rFonts w:ascii="DilleniaUPC" w:hAnsi="DilleniaUPC" w:cs="DilleniaUPC"/>
          <w:sz w:val="30"/>
          <w:szCs w:val="30"/>
          <w:cs/>
        </w:rPr>
        <w:t>สำนักงาน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>คณะกรรมการกำกับหลักทรัพย์และตลาดหลักทรัพย์ (</w:t>
      </w:r>
      <w:r w:rsidR="000C5BA2" w:rsidRPr="005F5723">
        <w:rPr>
          <w:rFonts w:ascii="DilleniaUPC" w:hAnsi="DilleniaUPC" w:cs="DilleniaUPC"/>
          <w:sz w:val="30"/>
          <w:szCs w:val="30"/>
        </w:rPr>
        <w:t>“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>สำนักงาน</w:t>
      </w:r>
      <w:r w:rsidR="000C5BA2" w:rsidRPr="005F5723">
        <w:rPr>
          <w:rFonts w:ascii="DilleniaUPC" w:hAnsi="DilleniaUPC" w:cs="DilleniaUPC"/>
          <w:sz w:val="30"/>
          <w:szCs w:val="30"/>
        </w:rPr>
        <w:t>”</w:t>
      </w:r>
      <w:r w:rsidR="000C5BA2" w:rsidRPr="005F5723">
        <w:rPr>
          <w:rFonts w:ascii="DilleniaUPC" w:hAnsi="DilleniaUPC" w:cs="DilleniaUPC"/>
          <w:sz w:val="30"/>
          <w:szCs w:val="30"/>
          <w:cs/>
        </w:rPr>
        <w:t>)</w:t>
      </w:r>
      <w:r w:rsidR="004A79EF" w:rsidRPr="005F5723">
        <w:rPr>
          <w:rFonts w:ascii="DilleniaUPC" w:hAnsi="DilleniaUPC" w:cs="DilleniaUPC"/>
          <w:sz w:val="30"/>
          <w:szCs w:val="30"/>
          <w:cs/>
        </w:rPr>
        <w:t xml:space="preserve"> </w:t>
      </w:r>
      <w:r w:rsidR="00D95B5B" w:rsidRPr="005F5723">
        <w:rPr>
          <w:rFonts w:ascii="DilleniaUPC" w:hAnsi="DilleniaUPC" w:cs="DilleniaUPC"/>
          <w:sz w:val="30"/>
          <w:szCs w:val="30"/>
          <w:cs/>
        </w:rPr>
        <w:t xml:space="preserve">ซึ่งสำนักงานไม่ขัดข้องที่จะให้สมาชิกมีความยืดหยุ่นในการปฏิบัติงาน </w:t>
      </w:r>
      <w:r w:rsidR="004A79EF" w:rsidRPr="005F5723">
        <w:rPr>
          <w:rFonts w:ascii="DilleniaUPC" w:hAnsi="DilleniaUPC" w:cs="DilleniaUPC"/>
          <w:sz w:val="30"/>
          <w:szCs w:val="30"/>
          <w:cs/>
        </w:rPr>
        <w:t>จึงขอซั</w:t>
      </w:r>
      <w:r w:rsidR="00CA4BEA" w:rsidRPr="005F5723">
        <w:rPr>
          <w:rFonts w:ascii="DilleniaUPC" w:hAnsi="DilleniaUPC" w:cs="DilleniaUPC"/>
          <w:sz w:val="30"/>
          <w:szCs w:val="30"/>
          <w:cs/>
        </w:rPr>
        <w:t>กซ้อมความเข้าใจเกี่ยวกับ</w:t>
      </w:r>
      <w:r w:rsidR="00AC5DC5" w:rsidRPr="005F5723">
        <w:rPr>
          <w:rFonts w:ascii="DilleniaUPC" w:hAnsi="DilleniaUPC" w:cs="DilleniaUPC"/>
          <w:sz w:val="30"/>
          <w:szCs w:val="30"/>
          <w:cs/>
        </w:rPr>
        <w:t>การปฏิบัติงานตาม</w:t>
      </w:r>
      <w:r w:rsidR="00CA4BEA" w:rsidRPr="005F5723">
        <w:rPr>
          <w:rFonts w:ascii="DilleniaUPC" w:hAnsi="DilleniaUPC" w:cs="DilleniaUPC"/>
          <w:sz w:val="30"/>
          <w:szCs w:val="30"/>
          <w:cs/>
        </w:rPr>
        <w:t>ประกาศ</w:t>
      </w:r>
      <w:r w:rsidR="00AC5DC5" w:rsidRPr="005F5723">
        <w:rPr>
          <w:rFonts w:ascii="DilleniaUPC" w:hAnsi="DilleniaUPC" w:cs="DilleniaUPC"/>
          <w:sz w:val="30"/>
          <w:szCs w:val="30"/>
          <w:cs/>
        </w:rPr>
        <w:t>ดังกล่าว</w:t>
      </w:r>
      <w:r w:rsidR="00CA4BEA" w:rsidRPr="005F5723">
        <w:rPr>
          <w:rFonts w:ascii="DilleniaUPC" w:hAnsi="DilleniaUPC" w:cs="DilleniaUPC"/>
          <w:sz w:val="30"/>
          <w:szCs w:val="30"/>
          <w:cs/>
        </w:rPr>
        <w:t xml:space="preserve"> โดยมีรายละเอียดดังนี้</w:t>
      </w:r>
    </w:p>
    <w:p w:rsidR="00EA2D3A" w:rsidRPr="005F5723" w:rsidRDefault="00EA2D3A" w:rsidP="00AD7D29">
      <w:pPr>
        <w:spacing w:after="0" w:line="240" w:lineRule="auto"/>
        <w:jc w:val="thaiDistribute"/>
        <w:rPr>
          <w:rFonts w:ascii="DilleniaUPC" w:hAnsi="DilleniaUPC" w:cs="DilleniaUPC"/>
          <w:sz w:val="20"/>
          <w:szCs w:val="20"/>
        </w:rPr>
      </w:pPr>
    </w:p>
    <w:p w:rsidR="003D1175" w:rsidRPr="005F5723" w:rsidRDefault="00926BAD" w:rsidP="00ED7948">
      <w:pPr>
        <w:spacing w:after="0" w:line="240" w:lineRule="auto"/>
        <w:ind w:firstLine="720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5F5723">
        <w:rPr>
          <w:rFonts w:ascii="DilleniaUPC" w:eastAsia="Times New Roman" w:hAnsi="DilleniaUPC" w:cs="DilleniaUPC"/>
          <w:sz w:val="30"/>
          <w:szCs w:val="30"/>
          <w:cs/>
        </w:rPr>
        <w:t>ข้อ 1</w:t>
      </w:r>
      <w:r w:rsidR="00026FF0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การดำเนินการเพื่อให้เป็นไปตามประกาศคณะกรรมการกำกับตลาดทุน ที่ </w:t>
      </w:r>
      <w:proofErr w:type="spellStart"/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ทธ</w:t>
      </w:r>
      <w:proofErr w:type="spellEnd"/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.</w:t>
      </w:r>
      <w:r w:rsidR="005F5723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35/2556 ข้อ 30 และข้อ 34 ให้สมาชิกดำเนินการ ดังนี้</w:t>
      </w:r>
    </w:p>
    <w:p w:rsidR="003D1175" w:rsidRPr="005F5723" w:rsidRDefault="007F0EFB" w:rsidP="0093230F">
      <w:pPr>
        <w:pStyle w:val="ListParagraph"/>
        <w:numPr>
          <w:ilvl w:val="0"/>
          <w:numId w:val="4"/>
        </w:numPr>
        <w:spacing w:after="0" w:line="240" w:lineRule="auto"/>
        <w:ind w:left="1077" w:hanging="357"/>
        <w:jc w:val="thaiDistribute"/>
        <w:rPr>
          <w:rFonts w:ascii="DilleniaUPC" w:eastAsia="Times New Roman" w:hAnsi="DilleniaUPC" w:cs="DilleniaUPC"/>
          <w:sz w:val="30"/>
          <w:szCs w:val="30"/>
        </w:rPr>
      </w:pPr>
      <w:r>
        <w:rPr>
          <w:rFonts w:ascii="DilleniaUPC" w:eastAsia="Times New Roman" w:hAnsi="DilleniaUPC" w:cs="DilleniaUPC"/>
          <w:sz w:val="30"/>
          <w:szCs w:val="30"/>
          <w:cs/>
        </w:rPr>
        <w:t>ลูกค้าบุคคลธร</w:t>
      </w:r>
      <w:r w:rsidR="00581FC7" w:rsidRPr="005F5723">
        <w:rPr>
          <w:rFonts w:ascii="DilleniaUPC" w:eastAsia="Times New Roman" w:hAnsi="DilleniaUPC" w:cs="DilleniaUPC"/>
          <w:sz w:val="30"/>
          <w:szCs w:val="30"/>
          <w:cs/>
        </w:rPr>
        <w:t>รมดาและคณะบุคคลที่เปิดบัญชีก่อนวันที่ 1 เมษายน 2557 และ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ลูกค้า</w:t>
      </w:r>
      <w:r w:rsidR="000C5BA2" w:rsidRPr="005F5723">
        <w:rPr>
          <w:rFonts w:ascii="DilleniaUPC" w:eastAsia="Times New Roman" w:hAnsi="DilleniaUPC" w:cs="DilleniaUPC"/>
          <w:sz w:val="30"/>
          <w:szCs w:val="30"/>
          <w:cs/>
        </w:rPr>
        <w:t>ทุกราย</w:t>
      </w:r>
      <w:r w:rsidR="0078656F" w:rsidRPr="005F5723">
        <w:rPr>
          <w:rFonts w:ascii="DilleniaUPC" w:eastAsia="Times New Roman" w:hAnsi="DilleniaUPC" w:cs="DilleniaUPC"/>
          <w:sz w:val="30"/>
          <w:szCs w:val="30"/>
          <w:cs/>
        </w:rPr>
        <w:t>ซึ่งไม่ได้รับการยกเว้นตามประกาศที่อ้างถึง</w:t>
      </w:r>
      <w:r w:rsidR="005F5723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="00EC1430" w:rsidRPr="005F5723">
        <w:rPr>
          <w:rFonts w:ascii="DilleniaUPC" w:eastAsia="Times New Roman" w:hAnsi="DilleniaUPC" w:cs="DilleniaUPC"/>
          <w:sz w:val="30"/>
          <w:szCs w:val="30"/>
          <w:cs/>
        </w:rPr>
        <w:t>รวมทั้งลูกค้านิติบุคคล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ที่เปิดบัญชีตั้งแต่วันที่ 1 เมษายน 2557 เป็นต้นไป ให้สมาชิก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lastRenderedPageBreak/>
        <w:t>ดำเนินการประเมินความเหมาะสมในการลงทุนหรือการทำธุรกรรมของลูกค้า (</w:t>
      </w:r>
      <w:r w:rsidR="003D1175"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>) ในกรณีที่ไม่สามารถประเมินความเหมาะสมในการลงทุนหรือการทำธุรกรรม</w:t>
      </w:r>
      <w:r w:rsidR="00BE01BD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ให้สมาชิกปฏิเสธการ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ทำธุรกรรมที่เป็นการเพิ่มฐานะการถือครองของลูกค้า เช่น การซื้อหลักทรัพย์ การขายหลักทรัพย์โดยไม่มีหลักทรัพย์อยู่ในครอบครอง </w:t>
      </w:r>
    </w:p>
    <w:p w:rsidR="00BE01BD" w:rsidRPr="005F5723" w:rsidRDefault="00026FF0" w:rsidP="00ED794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5F5723">
        <w:rPr>
          <w:rFonts w:ascii="DilleniaUPC" w:eastAsia="Times New Roman" w:hAnsi="DilleniaUPC" w:cs="DilleniaUPC"/>
          <w:sz w:val="30"/>
          <w:szCs w:val="30"/>
          <w:cs/>
        </w:rPr>
        <w:t>ลูกค้านิติบุคคลที่เปิดบัญชีก่อนวันที่ 1 เมษายน 2557 ให้สมาชิกกำหนดนโยบายและวิธีการเพื่อให้มีการดำเนินการประเมินความเหมาะสมในการลงทุนหรือการทำธุรกรรมของลูกค้า (</w:t>
      </w:r>
      <w:r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)</w:t>
      </w:r>
      <w:r w:rsidRPr="005F5723">
        <w:rPr>
          <w:rFonts w:ascii="DilleniaUPC" w:eastAsia="Times New Roman" w:hAnsi="DilleniaUPC" w:cs="DilleniaUPC"/>
          <w:sz w:val="30"/>
          <w:szCs w:val="30"/>
        </w:rPr>
        <w:t xml:space="preserve"> </w:t>
      </w:r>
      <w:r w:rsidR="006717DB" w:rsidRPr="005F5723">
        <w:rPr>
          <w:rFonts w:ascii="DilleniaUPC" w:eastAsia="Times New Roman" w:hAnsi="DilleniaUPC" w:cs="DilleniaUPC"/>
          <w:sz w:val="30"/>
          <w:szCs w:val="30"/>
          <w:cs/>
        </w:rPr>
        <w:t>ตาม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รูปแบบและวิธีการ ซึ่งแส</w:t>
      </w:r>
      <w:r w:rsidR="00581FC7" w:rsidRPr="005F5723">
        <w:rPr>
          <w:rFonts w:ascii="DilleniaUPC" w:eastAsia="Times New Roman" w:hAnsi="DilleniaUPC" w:cs="DilleniaUPC"/>
          <w:sz w:val="30"/>
          <w:szCs w:val="30"/>
          <w:cs/>
        </w:rPr>
        <w:t>ดงได้ว่าสมาชิกได้ทำเต็มที่แล้วและเหมาะสม</w:t>
      </w:r>
      <w:r w:rsidRPr="005F5723">
        <w:rPr>
          <w:rFonts w:ascii="DilleniaUPC" w:eastAsia="Times New Roman" w:hAnsi="DilleniaUPC" w:cs="DilleniaUPC"/>
          <w:sz w:val="30"/>
          <w:szCs w:val="30"/>
        </w:rPr>
        <w:t xml:space="preserve"> 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ทั้งนี้</w:t>
      </w:r>
      <w:r w:rsidR="005F5723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ให้มีหลักฐานเกี่ยวกับการ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ดำเ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นินการในเรื่อง</w:t>
      </w:r>
      <w:bookmarkStart w:id="0" w:name="_GoBack"/>
      <w:bookmarkEnd w:id="0"/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ดังกล่าว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ไว้ด้วย</w:t>
      </w:r>
      <w:r w:rsidR="003D1175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="00581FC7" w:rsidRPr="005F5723">
        <w:rPr>
          <w:rFonts w:ascii="DilleniaUPC" w:eastAsia="Times New Roman" w:hAnsi="DilleniaUPC" w:cs="DilleniaUPC"/>
          <w:sz w:val="30"/>
          <w:szCs w:val="30"/>
          <w:cs/>
        </w:rPr>
        <w:t>และให้สมาชิกดำเนินการประเมินความเหมาะสม</w:t>
      </w:r>
      <w:r w:rsidR="00BE01BD" w:rsidRPr="005F5723">
        <w:rPr>
          <w:rFonts w:ascii="DilleniaUPC" w:eastAsia="Times New Roman" w:hAnsi="DilleniaUPC" w:cs="DilleniaUPC"/>
          <w:sz w:val="30"/>
          <w:szCs w:val="30"/>
          <w:cs/>
        </w:rPr>
        <w:t>ในการลงทุนหรือการทำธุรกรรม ให้แล้วเสร็จภายใน 6 เดือนนับจากวันที่ประกาศมีผลบังคับใช้ ภายหลังจากระยะเวลาดังกล่าวหากยังไม่สามารถประเมินความเหมาะสมในการลงทุนหรือการทำธุรกรรมของลูกค้ารายใดได้ ให้สมาชิกปฏิเสธการ</w:t>
      </w:r>
      <w:r w:rsidR="00084D07" w:rsidRPr="005F5723">
        <w:rPr>
          <w:rFonts w:ascii="DilleniaUPC" w:eastAsia="Times New Roman" w:hAnsi="DilleniaUPC" w:cs="DilleniaUPC"/>
          <w:sz w:val="30"/>
          <w:szCs w:val="30"/>
          <w:cs/>
        </w:rPr>
        <w:t>ทำธุรกรรมที่เป็นการเพิ่มฐานะการถือครองของลูกค้า เช่น การซื้อหลักทรัพย์ การขายหลักทรัพย์โดยไม่มีหลักทรัพย์อยู่ในครอบครอง</w:t>
      </w:r>
      <w:r w:rsidR="00BE01BD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</w:p>
    <w:p w:rsidR="00026FF0" w:rsidRPr="005F5723" w:rsidRDefault="00070F61" w:rsidP="00ED7948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DilleniaUPC" w:eastAsia="Times New Roman" w:hAnsi="DilleniaUPC" w:cs="DilleniaUPC"/>
          <w:sz w:val="30"/>
          <w:szCs w:val="30"/>
        </w:rPr>
      </w:pPr>
      <w:r w:rsidRPr="005F5723">
        <w:rPr>
          <w:rFonts w:ascii="DilleniaUPC" w:eastAsia="Times New Roman" w:hAnsi="DilleniaUPC" w:cs="DilleniaUPC"/>
          <w:sz w:val="30"/>
          <w:szCs w:val="30"/>
          <w:cs/>
        </w:rPr>
        <w:t>วิธี</w:t>
      </w:r>
      <w:r w:rsidR="00BE01BD" w:rsidRPr="005F5723">
        <w:rPr>
          <w:rFonts w:ascii="DilleniaUPC" w:eastAsia="Times New Roman" w:hAnsi="DilleniaUPC" w:cs="DilleniaUPC"/>
          <w:sz w:val="30"/>
          <w:szCs w:val="30"/>
          <w:cs/>
        </w:rPr>
        <w:t>การประเมินความเหมาะสมในการลงทุนหรือการทำธุรกรรม</w:t>
      </w:r>
      <w:r w:rsidR="00026FF0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สำหรับลูกค้านิติบุคคล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ผู้มีหน้าที่</w:t>
      </w:r>
      <w:r w:rsidR="00583C44" w:rsidRPr="005F5723">
        <w:rPr>
          <w:rFonts w:ascii="DilleniaUPC" w:eastAsia="Times New Roman" w:hAnsi="DilleniaUPC" w:cs="DilleniaUPC"/>
          <w:sz w:val="30"/>
          <w:szCs w:val="30"/>
          <w:cs/>
        </w:rPr>
        <w:t>ให้ข้อมูลเพื่อรับก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ารประเมินความเหมาะสมในการลงทุนหรือการทำธุรกรรมแทนนิติบุคคล (</w:t>
      </w:r>
      <w:r w:rsidR="00ED7948"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)</w:t>
      </w:r>
      <w:r w:rsidR="00ED7948" w:rsidRPr="005F5723">
        <w:rPr>
          <w:rFonts w:ascii="DilleniaUPC" w:eastAsia="Times New Roman" w:hAnsi="DilleniaUPC" w:cs="DilleniaUPC"/>
          <w:sz w:val="30"/>
          <w:szCs w:val="30"/>
        </w:rPr>
        <w:t xml:space="preserve">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ได้แก่ ผู้มีอำนาจกระทำการแทนหรือผู้รับมอบอำนาจกระทำการแทนนิติบุคคลนั้นๆ</w:t>
      </w:r>
      <w:r w:rsidR="00026FF0" w:rsidRPr="005F5723">
        <w:rPr>
          <w:rFonts w:ascii="DilleniaUPC" w:eastAsia="Times New Roman" w:hAnsi="DilleniaUPC" w:cs="DilleniaUPC"/>
          <w:sz w:val="30"/>
          <w:szCs w:val="30"/>
        </w:rPr>
        <w:t xml:space="preserve">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ทั้งนี้</w:t>
      </w:r>
      <w:r w:rsidR="004A76F5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สมาชิกอาจใช้มติคณะกรรมการของบริษัทที่มีสาระสำคัญระบุข้อความที่ครอบคลุมวัตถุประสงค์ของการประเมินความเหมาะสมในการลงทุนหรือการทำธุรกรรมของลูกค้า (</w:t>
      </w:r>
      <w:r w:rsidR="00ED7948"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)</w:t>
      </w:r>
      <w:r w:rsidR="00ED7948" w:rsidRPr="005F5723">
        <w:rPr>
          <w:rFonts w:ascii="DilleniaUPC" w:eastAsia="Times New Roman" w:hAnsi="DilleniaUPC" w:cs="DilleniaUPC"/>
          <w:sz w:val="30"/>
          <w:szCs w:val="30"/>
        </w:rPr>
        <w:t xml:space="preserve"> </w:t>
      </w:r>
      <w:r w:rsidR="00E7778D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ตามข้อ 31 (3) ของประกาศคณะกรรมการกำกับตลาดทุน ที่ ทธ.35/2556 </w:t>
      </w:r>
      <w:r w:rsidR="00ED7948" w:rsidRPr="005F5723">
        <w:rPr>
          <w:rFonts w:ascii="DilleniaUPC" w:eastAsia="Times New Roman" w:hAnsi="DilleniaUPC" w:cs="DilleniaUPC"/>
          <w:sz w:val="30"/>
          <w:szCs w:val="30"/>
          <w:cs/>
        </w:rPr>
        <w:t>แทนได้</w:t>
      </w:r>
      <w:r w:rsidR="00E7778D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และลงนามรับรองความถูกต้องโดยผู้มีอำนาจกระทำการแทนหรือผู้รับมอบอำนาจกระทำการแทนนิติบุคคลนั้นๆ</w:t>
      </w:r>
    </w:p>
    <w:p w:rsidR="00B63F1A" w:rsidRPr="005F5723" w:rsidRDefault="00B63F1A" w:rsidP="00EA2D3A">
      <w:pPr>
        <w:pStyle w:val="ListParagraph"/>
        <w:spacing w:after="0" w:line="240" w:lineRule="auto"/>
        <w:ind w:left="1080"/>
        <w:rPr>
          <w:rFonts w:ascii="DilleniaUPC" w:hAnsi="DilleniaUPC" w:cs="DilleniaUPC"/>
          <w:sz w:val="20"/>
          <w:szCs w:val="20"/>
        </w:rPr>
      </w:pPr>
    </w:p>
    <w:p w:rsidR="00B63F1A" w:rsidRPr="005F5723" w:rsidRDefault="00BE01BD" w:rsidP="005F5723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eastAsia="Times New Roman" w:hAnsi="DilleniaUPC" w:cs="DilleniaUPC"/>
          <w:sz w:val="30"/>
          <w:szCs w:val="30"/>
          <w:cs/>
        </w:rPr>
        <w:t>ข้อ 2 การดำเนินการเพื่อให้เป็นไปตามประกาศคณะกรรมการกำก</w:t>
      </w:r>
      <w:r w:rsidR="00AC63B1">
        <w:rPr>
          <w:rFonts w:ascii="DilleniaUPC" w:eastAsia="Times New Roman" w:hAnsi="DilleniaUPC" w:cs="DilleniaUPC"/>
          <w:sz w:val="30"/>
          <w:szCs w:val="30"/>
          <w:cs/>
        </w:rPr>
        <w:t xml:space="preserve">ับตลาดทุน ที่ </w:t>
      </w:r>
      <w:r w:rsidR="00084D07" w:rsidRPr="005F5723">
        <w:rPr>
          <w:rFonts w:ascii="DilleniaUPC" w:eastAsia="Times New Roman" w:hAnsi="DilleniaUPC" w:cs="DilleniaUPC"/>
          <w:sz w:val="30"/>
          <w:szCs w:val="30"/>
          <w:cs/>
        </w:rPr>
        <w:t>ทธ.</w:t>
      </w:r>
      <w:r w:rsidR="005F5723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="00084D07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35/2556 ข้อ 34 และ ข้อ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35 สมาชิก</w:t>
      </w:r>
      <w:r w:rsidR="006717DB" w:rsidRPr="005F5723">
        <w:rPr>
          <w:rFonts w:ascii="DilleniaUPC" w:eastAsia="Times New Roman" w:hAnsi="DilleniaUPC" w:cs="DilleniaUPC"/>
          <w:sz w:val="30"/>
          <w:szCs w:val="30"/>
          <w:cs/>
        </w:rPr>
        <w:t>สามารถ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ดำเนินการ</w:t>
      </w:r>
      <w:r w:rsidR="005E64D1" w:rsidRPr="005F5723">
        <w:rPr>
          <w:rFonts w:ascii="DilleniaUPC" w:eastAsia="Times New Roman" w:hAnsi="DilleniaUPC" w:cs="DilleniaUPC"/>
          <w:sz w:val="30"/>
          <w:szCs w:val="30"/>
          <w:cs/>
        </w:rPr>
        <w:t>ให้ลูกค้า</w:t>
      </w:r>
      <w:r w:rsidR="00583C44" w:rsidRPr="005F5723">
        <w:rPr>
          <w:rFonts w:ascii="DilleniaUPC" w:hAnsi="DilleniaUPC" w:cs="DilleniaUPC"/>
          <w:sz w:val="30"/>
          <w:szCs w:val="30"/>
          <w:cs/>
          <w:lang w:eastAsia="th-TH"/>
        </w:rPr>
        <w:t>ลงนาม</w:t>
      </w:r>
      <w:r w:rsidR="00583C44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ครั้งแรกเพียงครั้งเดียว</w:t>
      </w:r>
      <w:r w:rsidR="00D95B5B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ใน</w:t>
      </w:r>
      <w:r w:rsidR="00D95B5B" w:rsidRPr="005F5723">
        <w:rPr>
          <w:rFonts w:ascii="DilleniaUPC" w:hAnsi="DilleniaUPC" w:cs="DilleniaUPC"/>
          <w:sz w:val="30"/>
          <w:szCs w:val="30"/>
          <w:cs/>
          <w:lang w:eastAsia="th-TH"/>
        </w:rPr>
        <w:t>แบบการประเมิน</w:t>
      </w:r>
      <w:r w:rsidR="00D95B5B" w:rsidRPr="005F5723">
        <w:rPr>
          <w:rFonts w:ascii="DilleniaUPC" w:eastAsia="Times New Roman" w:hAnsi="DilleniaUPC" w:cs="DilleniaUPC"/>
          <w:sz w:val="30"/>
          <w:szCs w:val="30"/>
          <w:cs/>
        </w:rPr>
        <w:t>ความเหมาะสมในการลงทุนหรือการทำธุรกรรมของลูกค้า (</w:t>
      </w:r>
      <w:r w:rsidR="00D95B5B"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="00D95B5B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) </w:t>
      </w:r>
      <w:r w:rsidR="00084D07" w:rsidRPr="005F5723">
        <w:rPr>
          <w:rFonts w:ascii="DilleniaUPC" w:hAnsi="DilleniaUPC" w:cs="DilleniaUPC"/>
          <w:sz w:val="30"/>
          <w:szCs w:val="30"/>
          <w:cs/>
          <w:lang w:eastAsia="th-TH"/>
        </w:rPr>
        <w:t>เพื่อ</w:t>
      </w:r>
      <w:r w:rsidR="00084D07" w:rsidRPr="005F5723">
        <w:rPr>
          <w:rFonts w:ascii="DilleniaUPC" w:hAnsi="DilleniaUPC" w:cs="DilleniaUPC"/>
          <w:sz w:val="30"/>
          <w:szCs w:val="30"/>
          <w:cs/>
        </w:rPr>
        <w:t>รับทราบผลการประเมิน</w:t>
      </w:r>
      <w:r w:rsidR="00EC1430" w:rsidRPr="005F5723">
        <w:rPr>
          <w:rFonts w:ascii="DilleniaUPC" w:hAnsi="DilleniaUPC" w:cs="DilleniaUPC"/>
          <w:sz w:val="30"/>
          <w:szCs w:val="30"/>
          <w:cs/>
        </w:rPr>
        <w:t xml:space="preserve"> และ</w:t>
      </w:r>
      <w:r w:rsidR="00EC1430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ยอมรับความเสี่ยงที่</w:t>
      </w:r>
      <w:r w:rsidR="00DD294C">
        <w:rPr>
          <w:rFonts w:ascii="DilleniaUPC" w:hAnsi="DilleniaUPC" w:cs="DilleniaUPC" w:hint="cs"/>
          <w:spacing w:val="-2"/>
          <w:sz w:val="30"/>
          <w:szCs w:val="30"/>
          <w:cs/>
          <w:lang w:eastAsia="th-TH"/>
        </w:rPr>
        <w:t>อาจ</w:t>
      </w:r>
      <w:r w:rsidR="00EC1430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เกิด</w:t>
      </w:r>
      <w:r w:rsidR="00DD294C">
        <w:rPr>
          <w:rFonts w:ascii="DilleniaUPC" w:hAnsi="DilleniaUPC" w:cs="DilleniaUPC" w:hint="cs"/>
          <w:spacing w:val="-2"/>
          <w:sz w:val="30"/>
          <w:szCs w:val="30"/>
          <w:cs/>
          <w:lang w:eastAsia="th-TH"/>
        </w:rPr>
        <w:t>ขึ้น</w:t>
      </w:r>
      <w:r w:rsidR="00EC1430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จากการลงทุน</w:t>
      </w:r>
      <w:r w:rsidR="00D95B5B" w:rsidRPr="005F5723">
        <w:rPr>
          <w:rFonts w:ascii="DilleniaUPC" w:hAnsi="DilleniaUPC" w:cs="DilleniaUPC"/>
          <w:sz w:val="30"/>
          <w:szCs w:val="30"/>
          <w:cs/>
          <w:lang w:eastAsia="th-TH"/>
        </w:rPr>
        <w:t>หรือการทำธุรกรรม</w:t>
      </w:r>
      <w:r w:rsidR="00DD294C">
        <w:rPr>
          <w:rFonts w:ascii="DilleniaUPC" w:hAnsi="DilleniaUPC" w:cs="DilleniaUPC" w:hint="cs"/>
          <w:spacing w:val="-2"/>
          <w:sz w:val="30"/>
          <w:szCs w:val="30"/>
          <w:cs/>
          <w:lang w:eastAsia="th-TH"/>
        </w:rPr>
        <w:t>ซึ่ง</w:t>
      </w:r>
      <w:r w:rsidR="00084D07" w:rsidRPr="005F5723">
        <w:rPr>
          <w:rFonts w:ascii="DilleniaUPC" w:hAnsi="DilleniaUPC" w:cs="DilleniaUPC"/>
          <w:sz w:val="30"/>
          <w:szCs w:val="30"/>
          <w:cs/>
          <w:lang w:eastAsia="th-TH"/>
        </w:rPr>
        <w:t>ลูกค้ายืนยันจะลงทุนหรือทำธุรกรรม</w:t>
      </w:r>
      <w:r w:rsidR="00A41A10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ในผลิตภัณฑ์ในตลาดทุนประเภทใด</w:t>
      </w:r>
      <w:r w:rsidR="00DD294C">
        <w:rPr>
          <w:rFonts w:ascii="DilleniaUPC" w:hAnsi="DilleniaUPC" w:cs="DilleniaUPC" w:hint="cs"/>
          <w:spacing w:val="2"/>
          <w:sz w:val="30"/>
          <w:szCs w:val="30"/>
          <w:cs/>
          <w:lang w:eastAsia="th-TH"/>
        </w:rPr>
        <w:t>ที่</w:t>
      </w:r>
      <w:r w:rsidR="00084D07" w:rsidRPr="005F5723">
        <w:rPr>
          <w:rFonts w:ascii="DilleniaUPC" w:hAnsi="DilleniaUPC" w:cs="DilleniaUPC"/>
          <w:spacing w:val="2"/>
          <w:sz w:val="30"/>
          <w:szCs w:val="30"/>
          <w:cs/>
          <w:lang w:eastAsia="th-TH"/>
        </w:rPr>
        <w:t>ผลจากการประเมิน</w:t>
      </w:r>
      <w:r w:rsidR="00DD294C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แสดงว่า ลูกค้าไม่เหมาะสม</w:t>
      </w:r>
      <w:r w:rsidR="00084D07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จะลงทุนหรือทำธุรกรรม</w:t>
      </w:r>
      <w:r w:rsidR="00A41A10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>ในผลิตภัณฑ์ในตลาดทุนประเภทนั้น</w:t>
      </w:r>
      <w:r w:rsidR="00DD294C">
        <w:rPr>
          <w:rFonts w:ascii="DilleniaUPC" w:hAnsi="DilleniaUPC" w:cs="DilleniaUPC" w:hint="cs"/>
          <w:spacing w:val="-2"/>
          <w:sz w:val="30"/>
          <w:szCs w:val="30"/>
          <w:cs/>
          <w:lang w:eastAsia="th-TH"/>
        </w:rPr>
        <w:t xml:space="preserve"> และ</w:t>
      </w:r>
      <w:r w:rsidR="007C15E6" w:rsidRPr="005F5723">
        <w:rPr>
          <w:rFonts w:ascii="DilleniaUPC" w:hAnsi="DilleniaUPC" w:cs="DilleniaUPC"/>
          <w:sz w:val="30"/>
          <w:szCs w:val="30"/>
          <w:cs/>
        </w:rPr>
        <w:t>สมาชิกควรเตรียมความพร้อมในการ</w:t>
      </w:r>
      <w:r w:rsidR="00084D07" w:rsidRPr="005F5723">
        <w:rPr>
          <w:rFonts w:ascii="DilleniaUPC" w:hAnsi="DilleniaUPC" w:cs="DilleniaUPC"/>
          <w:sz w:val="30"/>
          <w:szCs w:val="30"/>
          <w:cs/>
        </w:rPr>
        <w:t>ให้คำแนะนำเบื้องต้น</w:t>
      </w:r>
      <w:r w:rsidR="005F5723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084D07" w:rsidRPr="005F5723">
        <w:rPr>
          <w:rFonts w:ascii="DilleniaUPC" w:hAnsi="DilleniaUPC" w:cs="DilleniaUPC"/>
          <w:sz w:val="30"/>
          <w:szCs w:val="30"/>
          <w:cs/>
        </w:rPr>
        <w:t>เพื่อให้ลูกค้าเข้าใจความสำคัญในการจัดสรรและกำหนดสัดส่วนการลงทุนหรือการทำธุรกรรมในผลิตภัณฑ์ในตลาดทุนที่เหมาะสม (</w:t>
      </w:r>
      <w:r w:rsidR="00084D07" w:rsidRPr="005F5723">
        <w:rPr>
          <w:rFonts w:ascii="DilleniaUPC" w:hAnsi="DilleniaUPC" w:cs="DilleniaUPC"/>
          <w:sz w:val="30"/>
          <w:szCs w:val="30"/>
        </w:rPr>
        <w:t xml:space="preserve">basic asset allocation) </w:t>
      </w:r>
      <w:r w:rsidR="007C15E6" w:rsidRPr="005F5723">
        <w:rPr>
          <w:rFonts w:ascii="DilleniaUPC" w:hAnsi="DilleniaUPC" w:cs="DilleniaUPC"/>
          <w:sz w:val="30"/>
          <w:szCs w:val="30"/>
          <w:cs/>
        </w:rPr>
        <w:t>ตั้งแต่วันที่ 1 เมษายน 2559 ตามประกาศกำหนด</w:t>
      </w:r>
      <w:r w:rsidR="00B63F1A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="005E64D1" w:rsidRPr="005F5723">
        <w:rPr>
          <w:rFonts w:ascii="DilleniaUPC" w:hAnsi="DilleniaUPC" w:cs="DilleniaUPC"/>
          <w:spacing w:val="-2"/>
          <w:sz w:val="30"/>
          <w:szCs w:val="30"/>
          <w:cs/>
          <w:lang w:eastAsia="th-TH"/>
        </w:rPr>
        <w:t xml:space="preserve"> </w:t>
      </w:r>
    </w:p>
    <w:p w:rsidR="005E64D1" w:rsidRPr="005F5723" w:rsidRDefault="005E64D1" w:rsidP="005F5723">
      <w:pPr>
        <w:spacing w:before="240" w:after="0" w:line="240" w:lineRule="auto"/>
        <w:ind w:firstLine="720"/>
        <w:jc w:val="thaiDistribute"/>
        <w:outlineLvl w:val="0"/>
        <w:rPr>
          <w:rFonts w:ascii="DilleniaUPC" w:eastAsia="Times New Roman" w:hAnsi="DilleniaUPC" w:cs="DilleniaUPC"/>
          <w:sz w:val="30"/>
          <w:szCs w:val="30"/>
        </w:rPr>
      </w:pPr>
      <w:r w:rsidRPr="005F5723">
        <w:rPr>
          <w:rFonts w:ascii="DilleniaUPC" w:eastAsia="Times New Roman" w:hAnsi="DilleniaUPC" w:cs="DilleniaUPC"/>
          <w:sz w:val="30"/>
          <w:szCs w:val="30"/>
          <w:cs/>
        </w:rPr>
        <w:t>ข้อ 3</w:t>
      </w:r>
      <w:r w:rsidR="00026FF0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การดำเนินการเพื่อให้เป็นไปตามประกาศคณะกรรมการกำกับตลาดทุน ที่ ทธ.</w:t>
      </w:r>
      <w:r w:rsidR="005F5723">
        <w:rPr>
          <w:rFonts w:ascii="DilleniaUPC" w:eastAsia="Times New Roman" w:hAnsi="DilleniaUPC" w:cs="DilleniaUPC" w:hint="cs"/>
          <w:sz w:val="30"/>
          <w:szCs w:val="30"/>
          <w:cs/>
        </w:rPr>
        <w:t xml:space="preserve">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35/2556 ข้อ 37 </w:t>
      </w:r>
      <w:r w:rsidR="00026FF0" w:rsidRPr="005F5723">
        <w:rPr>
          <w:rFonts w:ascii="DilleniaUPC" w:eastAsia="Times New Roman" w:hAnsi="DilleniaUPC" w:cs="DilleniaUPC"/>
          <w:sz w:val="30"/>
          <w:szCs w:val="30"/>
          <w:cs/>
        </w:rPr>
        <w:t>สมาชิกควร</w:t>
      </w:r>
      <w:r w:rsidR="00026FF0" w:rsidRPr="005F5723">
        <w:rPr>
          <w:rFonts w:ascii="DilleniaUPC" w:eastAsia="Cordia New" w:hAnsi="DilleniaUPC" w:cs="DilleniaUPC"/>
          <w:sz w:val="30"/>
          <w:szCs w:val="30"/>
          <w:cs/>
        </w:rPr>
        <w:t>จัดให้มีการทบทวน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การประเมินความเหมาะสมในการลงทุนหรือการทำธุรกรรมของลูกค้า (</w:t>
      </w:r>
      <w:r w:rsidRPr="005F5723">
        <w:rPr>
          <w:rFonts w:ascii="DilleniaUPC" w:eastAsia="Times New Roman" w:hAnsi="DilleniaUPC" w:cs="DilleniaUPC"/>
          <w:sz w:val="30"/>
          <w:szCs w:val="30"/>
        </w:rPr>
        <w:t>Suitability Test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)</w:t>
      </w:r>
      <w:r w:rsidRPr="005F5723">
        <w:rPr>
          <w:rFonts w:ascii="DilleniaUPC" w:eastAsia="Cordia New" w:hAnsi="DilleniaUPC" w:cs="DilleniaUPC"/>
          <w:sz w:val="30"/>
          <w:szCs w:val="30"/>
        </w:rPr>
        <w:t xml:space="preserve"> </w:t>
      </w:r>
      <w:r w:rsidR="006C028F" w:rsidRPr="005F5723">
        <w:rPr>
          <w:rFonts w:ascii="DilleniaUPC" w:eastAsia="Times New Roman" w:hAnsi="DilleniaUPC" w:cs="DilleniaUPC"/>
          <w:sz w:val="30"/>
          <w:szCs w:val="30"/>
          <w:cs/>
        </w:rPr>
        <w:t>อย่างน้อย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ทุก 2 ปี โดยรูปแบบและวิธีการขึ้นอยู่กับดุลยพินิจของบริษัท</w:t>
      </w:r>
      <w:r w:rsidR="006C028F" w:rsidRPr="005F5723">
        <w:rPr>
          <w:rFonts w:ascii="DilleniaUPC" w:eastAsia="Times New Roman" w:hAnsi="DilleniaUPC" w:cs="DilleniaUPC"/>
          <w:sz w:val="30"/>
          <w:szCs w:val="30"/>
          <w:cs/>
        </w:rPr>
        <w:t>ที่คิดว่าเหมาะสม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ทั้งนี้ สมาชิกอาจดำเนินการพร้อมกับการทบทวนข้อมูลการทำความรู้จักลูกค้า (</w:t>
      </w:r>
      <w:r w:rsidRPr="005F5723">
        <w:rPr>
          <w:rFonts w:ascii="DilleniaUPC" w:eastAsia="Times New Roman" w:hAnsi="DilleniaUPC" w:cs="DilleniaUPC"/>
          <w:sz w:val="30"/>
          <w:szCs w:val="30"/>
        </w:rPr>
        <w:t xml:space="preserve">Know Your Client: KYC)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และอาจเพิ่มหัวข้อเรื่องความประสงค์ในการทบทวน </w:t>
      </w:r>
      <w:r w:rsidRPr="005F5723">
        <w:rPr>
          <w:rFonts w:ascii="DilleniaUPC" w:eastAsia="Times New Roman" w:hAnsi="DilleniaUPC" w:cs="DilleniaUPC"/>
          <w:sz w:val="30"/>
          <w:szCs w:val="30"/>
        </w:rPr>
        <w:t xml:space="preserve">Suitability Test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โดยให้ลูกค้าเลือกว่าต้องการทำ </w:t>
      </w:r>
      <w:r w:rsidRPr="005F5723">
        <w:rPr>
          <w:rFonts w:ascii="DilleniaUPC" w:eastAsia="Times New Roman" w:hAnsi="DilleniaUPC" w:cs="DilleniaUPC"/>
          <w:sz w:val="30"/>
          <w:szCs w:val="30"/>
        </w:rPr>
        <w:t xml:space="preserve">Suitability Test </w:t>
      </w:r>
      <w:r w:rsidRPr="005F5723">
        <w:rPr>
          <w:rFonts w:ascii="DilleniaUPC" w:eastAsia="Times New Roman" w:hAnsi="DilleniaUPC" w:cs="DilleniaUPC"/>
          <w:sz w:val="30"/>
          <w:szCs w:val="30"/>
          <w:cs/>
        </w:rPr>
        <w:t>ใหม่ หรือไม่มีการเปลี่ยนแปลงจากผลการประเมินครั้งก่อน</w:t>
      </w:r>
      <w:r w:rsidR="00B134FB" w:rsidRPr="005F5723">
        <w:rPr>
          <w:rFonts w:ascii="DilleniaUPC" w:eastAsia="Times New Roman" w:hAnsi="DilleniaUPC" w:cs="DilleniaUPC"/>
          <w:sz w:val="30"/>
          <w:szCs w:val="30"/>
          <w:cs/>
        </w:rPr>
        <w:t xml:space="preserve"> </w:t>
      </w:r>
    </w:p>
    <w:p w:rsidR="00026FF0" w:rsidRPr="005F5723" w:rsidRDefault="00026FF0" w:rsidP="00AD7D29">
      <w:pPr>
        <w:spacing w:after="0" w:line="240" w:lineRule="auto"/>
        <w:jc w:val="thaiDistribute"/>
        <w:rPr>
          <w:rFonts w:ascii="DilleniaUPC" w:hAnsi="DilleniaUPC" w:cs="DilleniaUPC"/>
          <w:sz w:val="20"/>
          <w:szCs w:val="20"/>
        </w:rPr>
      </w:pPr>
    </w:p>
    <w:p w:rsidR="00AC5DC5" w:rsidRPr="005F5723" w:rsidRDefault="00AC5DC5" w:rsidP="00BC4879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lastRenderedPageBreak/>
        <w:t>อย่างไรก็ตาม</w:t>
      </w:r>
      <w:r w:rsidR="00070F61" w:rsidRPr="005F5723">
        <w:rPr>
          <w:rFonts w:ascii="DilleniaUPC" w:hAnsi="DilleniaUPC" w:cs="DilleniaUPC"/>
          <w:sz w:val="30"/>
          <w:szCs w:val="30"/>
          <w:cs/>
        </w:rPr>
        <w:t>สำนักงาน</w:t>
      </w:r>
      <w:r w:rsidR="004031C1" w:rsidRPr="005F5723">
        <w:rPr>
          <w:rFonts w:ascii="DilleniaUPC" w:hAnsi="DilleniaUPC" w:cs="DilleniaUPC"/>
          <w:sz w:val="30"/>
          <w:szCs w:val="30"/>
          <w:cs/>
        </w:rPr>
        <w:t>อาจ</w:t>
      </w:r>
      <w:r w:rsidR="00805C26" w:rsidRPr="005F5723">
        <w:rPr>
          <w:rFonts w:ascii="DilleniaUPC" w:hAnsi="DilleniaUPC" w:cs="DilleniaUPC"/>
          <w:sz w:val="30"/>
          <w:szCs w:val="30"/>
          <w:cs/>
        </w:rPr>
        <w:t>พิจารณากำหนด</w:t>
      </w:r>
      <w:r w:rsidR="00070F61" w:rsidRPr="005F5723">
        <w:rPr>
          <w:rFonts w:ascii="DilleniaUPC" w:hAnsi="DilleniaUPC" w:cs="DilleniaUPC"/>
          <w:sz w:val="30"/>
          <w:szCs w:val="30"/>
          <w:cs/>
        </w:rPr>
        <w:t>เพิ่มเติมหลักเกณฑ์หรือแนวทางปฏิบัติในภายหลัง ให้สมาชิกยึดถือปฏิบัติตามหลักเกณฑ์</w:t>
      </w:r>
      <w:r w:rsidR="00805C26" w:rsidRPr="005F5723">
        <w:rPr>
          <w:rFonts w:ascii="DilleniaUPC" w:hAnsi="DilleniaUPC" w:cs="DilleniaUPC"/>
          <w:sz w:val="30"/>
          <w:szCs w:val="30"/>
          <w:cs/>
        </w:rPr>
        <w:t>หรือแนวทางปฏิบัติที่อาจมีการเปลี่ยนแปลงในภายหลัง กรณีที่มีข้อความใดขัดหรือแย้งกับหนังสือฉบับนี้</w:t>
      </w:r>
    </w:p>
    <w:p w:rsidR="004031C1" w:rsidRPr="005F5723" w:rsidRDefault="004031C1" w:rsidP="00AD7D29">
      <w:pPr>
        <w:pStyle w:val="ListParagraph"/>
        <w:spacing w:after="0" w:line="240" w:lineRule="auto"/>
        <w:ind w:left="1080"/>
        <w:jc w:val="thaiDistribute"/>
        <w:rPr>
          <w:rFonts w:ascii="DilleniaUPC" w:hAnsi="DilleniaUPC" w:cs="DilleniaUPC"/>
          <w:sz w:val="20"/>
          <w:szCs w:val="20"/>
        </w:rPr>
      </w:pPr>
    </w:p>
    <w:p w:rsidR="007E50C7" w:rsidRPr="005F5723" w:rsidRDefault="007E50C7" w:rsidP="00BC4879">
      <w:pPr>
        <w:spacing w:after="0" w:line="240" w:lineRule="auto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>จึงเรียนมาเพื่อโปรดทราบและถือปฏิบัติต่อไป</w:t>
      </w:r>
    </w:p>
    <w:p w:rsidR="007E50C7" w:rsidRPr="005F5723" w:rsidRDefault="007E50C7" w:rsidP="00BC4879">
      <w:pPr>
        <w:pStyle w:val="ListParagraph"/>
        <w:spacing w:after="0"/>
        <w:ind w:left="1080"/>
        <w:jc w:val="thaiDistribute"/>
        <w:rPr>
          <w:rFonts w:ascii="DilleniaUPC" w:hAnsi="DilleniaUPC" w:cs="DilleniaUPC"/>
          <w:sz w:val="32"/>
          <w:szCs w:val="32"/>
        </w:rPr>
      </w:pPr>
    </w:p>
    <w:p w:rsidR="00FF78B5" w:rsidRPr="005F5723" w:rsidRDefault="00AD7D29" w:rsidP="00BC4879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ab/>
      </w:r>
      <w:r w:rsidR="007E50C7" w:rsidRPr="005F5723">
        <w:rPr>
          <w:rFonts w:ascii="DilleniaUPC" w:hAnsi="DilleniaUPC" w:cs="DilleniaUPC"/>
          <w:sz w:val="30"/>
          <w:szCs w:val="30"/>
          <w:cs/>
        </w:rPr>
        <w:t>ขอแสดงความนับถือ</w:t>
      </w:r>
    </w:p>
    <w:p w:rsidR="007E50C7" w:rsidRPr="005F5723" w:rsidRDefault="007E50C7" w:rsidP="00AD7D29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7E50C7" w:rsidRDefault="007E50C7" w:rsidP="00AD7D29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5F5723" w:rsidRPr="005F5723" w:rsidRDefault="005F5723" w:rsidP="00AD7D29">
      <w:pPr>
        <w:pStyle w:val="ListParagraph"/>
        <w:spacing w:after="0" w:line="240" w:lineRule="auto"/>
        <w:ind w:left="1080"/>
        <w:jc w:val="center"/>
        <w:rPr>
          <w:rFonts w:ascii="DilleniaUPC" w:hAnsi="DilleniaUPC" w:cs="DilleniaUPC"/>
          <w:sz w:val="20"/>
          <w:szCs w:val="20"/>
        </w:rPr>
      </w:pPr>
    </w:p>
    <w:p w:rsidR="00AD7D29" w:rsidRPr="005F5723" w:rsidRDefault="00AD7D29" w:rsidP="00AD7D29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</w:rPr>
        <w:tab/>
      </w:r>
      <w:r w:rsidR="007E50C7" w:rsidRPr="005F5723">
        <w:rPr>
          <w:rFonts w:ascii="DilleniaUPC" w:hAnsi="DilleniaUPC" w:cs="DilleniaUPC"/>
          <w:sz w:val="30"/>
          <w:szCs w:val="30"/>
        </w:rPr>
        <w:t>(</w:t>
      </w:r>
      <w:r w:rsidR="007E50C7" w:rsidRPr="005F5723">
        <w:rPr>
          <w:rFonts w:ascii="DilleniaUPC" w:hAnsi="DilleniaUPC" w:cs="DilleniaUPC"/>
          <w:sz w:val="30"/>
          <w:szCs w:val="30"/>
          <w:cs/>
        </w:rPr>
        <w:t>นายญาณศักดิ์ มโนมัยพิบูลย์</w:t>
      </w:r>
      <w:r w:rsidR="007E50C7" w:rsidRPr="005F5723">
        <w:rPr>
          <w:rFonts w:ascii="DilleniaUPC" w:hAnsi="DilleniaUPC" w:cs="DilleniaUPC"/>
          <w:sz w:val="30"/>
          <w:szCs w:val="30"/>
        </w:rPr>
        <w:t>)</w:t>
      </w:r>
    </w:p>
    <w:p w:rsidR="007E50C7" w:rsidRPr="005F5723" w:rsidRDefault="00AD7D29" w:rsidP="00AD7D29">
      <w:pPr>
        <w:tabs>
          <w:tab w:val="center" w:pos="5812"/>
        </w:tabs>
        <w:spacing w:after="0" w:line="240" w:lineRule="auto"/>
        <w:rPr>
          <w:rFonts w:ascii="DilleniaUPC" w:hAnsi="DilleniaUPC" w:cs="DilleniaUPC"/>
          <w:sz w:val="30"/>
          <w:szCs w:val="30"/>
        </w:rPr>
      </w:pPr>
      <w:r w:rsidRPr="005F5723">
        <w:rPr>
          <w:rFonts w:ascii="DilleniaUPC" w:hAnsi="DilleniaUPC" w:cs="DilleniaUPC"/>
          <w:sz w:val="30"/>
          <w:szCs w:val="30"/>
          <w:cs/>
        </w:rPr>
        <w:tab/>
      </w:r>
      <w:r w:rsidR="00954F77" w:rsidRPr="005F5723">
        <w:rPr>
          <w:rFonts w:ascii="DilleniaUPC" w:hAnsi="DilleniaUPC" w:cs="DilleniaUPC"/>
          <w:sz w:val="30"/>
          <w:szCs w:val="30"/>
          <w:cs/>
        </w:rPr>
        <w:t>เลขาธิการ</w:t>
      </w:r>
    </w:p>
    <w:p w:rsidR="001E399D" w:rsidRPr="005F5723" w:rsidRDefault="001E399D" w:rsidP="00AD7D29">
      <w:pPr>
        <w:pStyle w:val="ListParagraph"/>
        <w:tabs>
          <w:tab w:val="decimal" w:pos="5812"/>
        </w:tabs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1E399D" w:rsidRPr="005F5723" w:rsidRDefault="001E399D" w:rsidP="007E50C7">
      <w:pPr>
        <w:pStyle w:val="ListParagraph"/>
        <w:ind w:left="1080"/>
        <w:jc w:val="center"/>
        <w:rPr>
          <w:rFonts w:ascii="DilleniaUPC" w:hAnsi="DilleniaUPC" w:cs="DilleniaUPC"/>
          <w:sz w:val="30"/>
          <w:szCs w:val="30"/>
        </w:rPr>
      </w:pPr>
    </w:p>
    <w:p w:rsidR="001E399D" w:rsidRPr="005F5723" w:rsidRDefault="001E399D" w:rsidP="001E399D">
      <w:pPr>
        <w:pStyle w:val="ListParagraph"/>
        <w:ind w:left="1080"/>
        <w:rPr>
          <w:rFonts w:ascii="DilleniaUPC" w:hAnsi="DilleniaUPC" w:cs="DilleniaUPC"/>
          <w:sz w:val="30"/>
          <w:szCs w:val="30"/>
          <w:cs/>
        </w:rPr>
      </w:pPr>
    </w:p>
    <w:p w:rsidR="005F5723" w:rsidRDefault="005F5723" w:rsidP="00FD66C2">
      <w:pPr>
        <w:rPr>
          <w:rFonts w:ascii="DilleniaUPC" w:hAnsi="DilleniaUPC" w:cs="DilleniaUPC"/>
          <w:sz w:val="30"/>
          <w:szCs w:val="30"/>
        </w:rPr>
      </w:pPr>
    </w:p>
    <w:p w:rsidR="00FD66C2" w:rsidRDefault="00FD66C2" w:rsidP="00FD66C2">
      <w:pPr>
        <w:rPr>
          <w:rFonts w:ascii="DilleniaUPC" w:hAnsi="DilleniaUPC" w:cs="DilleniaUPC"/>
          <w:sz w:val="30"/>
          <w:szCs w:val="30"/>
        </w:rPr>
      </w:pPr>
    </w:p>
    <w:p w:rsidR="00FD66C2" w:rsidRDefault="00FD66C2" w:rsidP="00FD66C2">
      <w:pPr>
        <w:rPr>
          <w:rFonts w:ascii="DilleniaUPC" w:hAnsi="DilleniaUPC" w:cs="DilleniaUPC"/>
          <w:sz w:val="30"/>
          <w:szCs w:val="30"/>
        </w:rPr>
      </w:pPr>
    </w:p>
    <w:p w:rsidR="00FD66C2" w:rsidRDefault="00FD66C2" w:rsidP="00FD66C2">
      <w:pPr>
        <w:rPr>
          <w:rFonts w:ascii="DilleniaUPC" w:hAnsi="DilleniaUPC" w:cs="DilleniaUPC"/>
          <w:sz w:val="30"/>
          <w:szCs w:val="30"/>
        </w:rPr>
      </w:pPr>
    </w:p>
    <w:p w:rsidR="00FD66C2" w:rsidRDefault="00FD66C2" w:rsidP="00FD66C2">
      <w:pPr>
        <w:rPr>
          <w:rFonts w:ascii="DilleniaUPC" w:hAnsi="DilleniaUPC" w:cs="DilleniaUPC"/>
          <w:sz w:val="30"/>
          <w:szCs w:val="30"/>
        </w:rPr>
      </w:pPr>
    </w:p>
    <w:p w:rsidR="00FD66C2" w:rsidRDefault="00FD66C2" w:rsidP="00FD66C2">
      <w:pPr>
        <w:rPr>
          <w:rFonts w:ascii="DilleniaUPC" w:hAnsi="DilleniaUPC" w:cs="DilleniaUPC"/>
          <w:sz w:val="30"/>
          <w:szCs w:val="30"/>
        </w:rPr>
      </w:pPr>
    </w:p>
    <w:p w:rsidR="006B6F9E" w:rsidRDefault="006B6F9E" w:rsidP="00FD66C2">
      <w:pPr>
        <w:rPr>
          <w:rFonts w:ascii="DilleniaUPC" w:hAnsi="DilleniaUPC" w:cs="DilleniaUPC"/>
          <w:sz w:val="30"/>
          <w:szCs w:val="30"/>
        </w:rPr>
      </w:pPr>
    </w:p>
    <w:p w:rsidR="00FD66C2" w:rsidRPr="00FD66C2" w:rsidRDefault="00FD66C2" w:rsidP="00FD66C2">
      <w:pPr>
        <w:rPr>
          <w:rFonts w:ascii="DilleniaUPC" w:hAnsi="DilleniaUPC" w:cs="DilleniaUPC"/>
          <w:sz w:val="30"/>
          <w:szCs w:val="30"/>
          <w:cs/>
        </w:rPr>
      </w:pPr>
      <w:r>
        <w:rPr>
          <w:rFonts w:ascii="DilleniaUPC" w:hAnsi="DilleniaUPC" w:cs="DilleniaUPC" w:hint="cs"/>
          <w:sz w:val="30"/>
          <w:szCs w:val="30"/>
          <w:cs/>
        </w:rPr>
        <w:t xml:space="preserve">สำเนาเรียน </w:t>
      </w:r>
      <w:r>
        <w:rPr>
          <w:rFonts w:ascii="DilleniaUPC" w:hAnsi="DilleniaUPC" w:cs="DilleniaUPC" w:hint="cs"/>
          <w:sz w:val="30"/>
          <w:szCs w:val="30"/>
          <w:cs/>
        </w:rPr>
        <w:tab/>
        <w:t>ชมรม</w:t>
      </w:r>
      <w:r w:rsidRPr="00FD66C2">
        <w:rPr>
          <w:rFonts w:ascii="DilleniaUPC" w:hAnsi="DilleniaUPC" w:cs="DilleniaUPC"/>
          <w:sz w:val="30"/>
          <w:szCs w:val="30"/>
          <w:cs/>
        </w:rPr>
        <w:t>ผู้ดูแลการปฏิบัติงานด้านหลักทรัพ</w:t>
      </w:r>
      <w:r>
        <w:rPr>
          <w:rFonts w:ascii="DilleniaUPC" w:hAnsi="DilleniaUPC" w:cs="DilleniaUPC" w:hint="cs"/>
          <w:sz w:val="30"/>
          <w:szCs w:val="30"/>
          <w:cs/>
        </w:rPr>
        <w:t>ย์</w:t>
      </w:r>
    </w:p>
    <w:sectPr w:rsidR="00FD66C2" w:rsidRPr="00FD66C2" w:rsidSect="00932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28" w:right="1440" w:bottom="1440" w:left="17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65" w:rsidRDefault="00353365" w:rsidP="0048432E">
      <w:pPr>
        <w:spacing w:after="0" w:line="240" w:lineRule="auto"/>
      </w:pPr>
      <w:r>
        <w:separator/>
      </w:r>
    </w:p>
  </w:endnote>
  <w:endnote w:type="continuationSeparator" w:id="0">
    <w:p w:rsidR="00353365" w:rsidRDefault="00353365" w:rsidP="0048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65" w:rsidRDefault="00353365" w:rsidP="0048432E">
      <w:pPr>
        <w:spacing w:after="0" w:line="240" w:lineRule="auto"/>
      </w:pPr>
      <w:r>
        <w:separator/>
      </w:r>
    </w:p>
  </w:footnote>
  <w:footnote w:type="continuationSeparator" w:id="0">
    <w:p w:rsidR="00353365" w:rsidRDefault="00353365" w:rsidP="0048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32E" w:rsidRDefault="00484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1C5"/>
    <w:multiLevelType w:val="hybridMultilevel"/>
    <w:tmpl w:val="B418B498"/>
    <w:lvl w:ilvl="0" w:tplc="740EB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526"/>
    <w:multiLevelType w:val="hybridMultilevel"/>
    <w:tmpl w:val="56185C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19F05B5"/>
    <w:multiLevelType w:val="hybridMultilevel"/>
    <w:tmpl w:val="6ECE38A4"/>
    <w:lvl w:ilvl="0" w:tplc="19A403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97768"/>
    <w:multiLevelType w:val="hybridMultilevel"/>
    <w:tmpl w:val="B2064226"/>
    <w:lvl w:ilvl="0" w:tplc="5FC09C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F6929"/>
    <w:multiLevelType w:val="hybridMultilevel"/>
    <w:tmpl w:val="3A1E0CFC"/>
    <w:lvl w:ilvl="0" w:tplc="84A897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B5"/>
    <w:rsid w:val="00026FF0"/>
    <w:rsid w:val="00070F61"/>
    <w:rsid w:val="00084D07"/>
    <w:rsid w:val="000B3D19"/>
    <w:rsid w:val="000B58F9"/>
    <w:rsid w:val="000C5BA2"/>
    <w:rsid w:val="000D0072"/>
    <w:rsid w:val="001750DB"/>
    <w:rsid w:val="001B414E"/>
    <w:rsid w:val="001E399D"/>
    <w:rsid w:val="001F6DD3"/>
    <w:rsid w:val="0021302B"/>
    <w:rsid w:val="00245CA0"/>
    <w:rsid w:val="0027036D"/>
    <w:rsid w:val="002706D6"/>
    <w:rsid w:val="00272ACC"/>
    <w:rsid w:val="002956DF"/>
    <w:rsid w:val="002B379D"/>
    <w:rsid w:val="002F6944"/>
    <w:rsid w:val="00314EAD"/>
    <w:rsid w:val="00353365"/>
    <w:rsid w:val="0038005D"/>
    <w:rsid w:val="00386BCA"/>
    <w:rsid w:val="003D1175"/>
    <w:rsid w:val="003D16A2"/>
    <w:rsid w:val="004031C1"/>
    <w:rsid w:val="00473C72"/>
    <w:rsid w:val="00476C6E"/>
    <w:rsid w:val="0048432E"/>
    <w:rsid w:val="004A7278"/>
    <w:rsid w:val="004A76F5"/>
    <w:rsid w:val="004A79EF"/>
    <w:rsid w:val="004C16F8"/>
    <w:rsid w:val="004F0296"/>
    <w:rsid w:val="004F36B4"/>
    <w:rsid w:val="004F5FC4"/>
    <w:rsid w:val="00581FC7"/>
    <w:rsid w:val="00583235"/>
    <w:rsid w:val="00583C44"/>
    <w:rsid w:val="005A29E2"/>
    <w:rsid w:val="005B3F30"/>
    <w:rsid w:val="005E64D1"/>
    <w:rsid w:val="005F5723"/>
    <w:rsid w:val="006717DB"/>
    <w:rsid w:val="006B6F9E"/>
    <w:rsid w:val="006C028F"/>
    <w:rsid w:val="006C3403"/>
    <w:rsid w:val="006F1323"/>
    <w:rsid w:val="00751DF7"/>
    <w:rsid w:val="00760565"/>
    <w:rsid w:val="00765963"/>
    <w:rsid w:val="0078551D"/>
    <w:rsid w:val="007863D5"/>
    <w:rsid w:val="0078656F"/>
    <w:rsid w:val="00796A4B"/>
    <w:rsid w:val="007B4207"/>
    <w:rsid w:val="007C15E6"/>
    <w:rsid w:val="007D5A0E"/>
    <w:rsid w:val="007E50C7"/>
    <w:rsid w:val="007F0EFB"/>
    <w:rsid w:val="00805C26"/>
    <w:rsid w:val="00877289"/>
    <w:rsid w:val="008F3CA8"/>
    <w:rsid w:val="00926BAD"/>
    <w:rsid w:val="0093230F"/>
    <w:rsid w:val="0094644B"/>
    <w:rsid w:val="00954F77"/>
    <w:rsid w:val="00991359"/>
    <w:rsid w:val="0099344D"/>
    <w:rsid w:val="009E6387"/>
    <w:rsid w:val="00A246AB"/>
    <w:rsid w:val="00A3023C"/>
    <w:rsid w:val="00A36F92"/>
    <w:rsid w:val="00A41A10"/>
    <w:rsid w:val="00A62A02"/>
    <w:rsid w:val="00A830A6"/>
    <w:rsid w:val="00A96843"/>
    <w:rsid w:val="00AC5DC5"/>
    <w:rsid w:val="00AC63B1"/>
    <w:rsid w:val="00AD7D29"/>
    <w:rsid w:val="00AE09A2"/>
    <w:rsid w:val="00B134FB"/>
    <w:rsid w:val="00B63F1A"/>
    <w:rsid w:val="00B8620D"/>
    <w:rsid w:val="00BC4879"/>
    <w:rsid w:val="00BE01BD"/>
    <w:rsid w:val="00BE1A14"/>
    <w:rsid w:val="00C0035F"/>
    <w:rsid w:val="00C66FDB"/>
    <w:rsid w:val="00C7042A"/>
    <w:rsid w:val="00C73261"/>
    <w:rsid w:val="00C911C6"/>
    <w:rsid w:val="00CA4BEA"/>
    <w:rsid w:val="00D65228"/>
    <w:rsid w:val="00D95B5B"/>
    <w:rsid w:val="00DD294C"/>
    <w:rsid w:val="00DD2CE1"/>
    <w:rsid w:val="00DE7FFC"/>
    <w:rsid w:val="00E16528"/>
    <w:rsid w:val="00E22292"/>
    <w:rsid w:val="00E3520A"/>
    <w:rsid w:val="00E6542B"/>
    <w:rsid w:val="00E7778D"/>
    <w:rsid w:val="00EA0700"/>
    <w:rsid w:val="00EA2D3A"/>
    <w:rsid w:val="00EA7F1E"/>
    <w:rsid w:val="00EC1430"/>
    <w:rsid w:val="00ED7948"/>
    <w:rsid w:val="00FD66C2"/>
    <w:rsid w:val="00FE68A7"/>
    <w:rsid w:val="00FF0F3C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2E"/>
  </w:style>
  <w:style w:type="paragraph" w:styleId="Footer">
    <w:name w:val="footer"/>
    <w:basedOn w:val="Normal"/>
    <w:link w:val="Foot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D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2E"/>
  </w:style>
  <w:style w:type="paragraph" w:styleId="Footer">
    <w:name w:val="footer"/>
    <w:basedOn w:val="Normal"/>
    <w:link w:val="FooterChar"/>
    <w:uiPriority w:val="99"/>
    <w:unhideWhenUsed/>
    <w:rsid w:val="0048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D89E-57FB-4DB3-A8F4-ACAAADC2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witawat</dc:creator>
  <cp:lastModifiedBy>user3</cp:lastModifiedBy>
  <cp:revision>5</cp:revision>
  <cp:lastPrinted>2014-04-01T06:06:00Z</cp:lastPrinted>
  <dcterms:created xsi:type="dcterms:W3CDTF">2014-03-31T10:28:00Z</dcterms:created>
  <dcterms:modified xsi:type="dcterms:W3CDTF">2014-04-01T06:07:00Z</dcterms:modified>
</cp:coreProperties>
</file>