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5" w:rsidRPr="0007175B" w:rsidRDefault="00B67F02" w:rsidP="0007175B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B67F02">
        <w:rPr>
          <w:rFonts w:ascii="DilleniaUPC" w:hAnsi="DilleniaUPC" w:cs="DilleniaUPC"/>
          <w:sz w:val="30"/>
          <w:szCs w:val="30"/>
          <w:cs/>
        </w:rPr>
        <w:t xml:space="preserve"> </w:t>
      </w:r>
      <w:r w:rsidR="00FF78B5" w:rsidRPr="0007175B">
        <w:rPr>
          <w:rFonts w:ascii="DilleniaUPC" w:hAnsi="DilleniaUPC" w:cs="DilleniaUPC"/>
          <w:sz w:val="30"/>
          <w:szCs w:val="30"/>
          <w:cs/>
        </w:rPr>
        <w:t xml:space="preserve">ที่ </w:t>
      </w:r>
      <w:proofErr w:type="spellStart"/>
      <w:r w:rsidR="00FF78B5" w:rsidRPr="0007175B">
        <w:rPr>
          <w:rFonts w:ascii="DilleniaUPC" w:hAnsi="DilleniaUPC" w:cs="DilleniaUPC"/>
          <w:sz w:val="30"/>
          <w:szCs w:val="30"/>
          <w:cs/>
        </w:rPr>
        <w:t>บล</w:t>
      </w:r>
      <w:proofErr w:type="spellEnd"/>
      <w:r w:rsidR="00782452">
        <w:rPr>
          <w:rFonts w:ascii="DilleniaUPC" w:hAnsi="DilleniaUPC" w:cs="DilleniaUPC"/>
          <w:sz w:val="30"/>
          <w:szCs w:val="30"/>
        </w:rPr>
        <w:t xml:space="preserve">. </w:t>
      </w:r>
      <w:r w:rsidR="00782452">
        <w:rPr>
          <w:rFonts w:ascii="DilleniaUPC" w:hAnsi="DilleniaUPC" w:cs="DilleniaUPC" w:hint="cs"/>
          <w:sz w:val="30"/>
          <w:szCs w:val="30"/>
          <w:cs/>
        </w:rPr>
        <w:t>320</w:t>
      </w:r>
      <w:r w:rsidR="001B0BE8">
        <w:rPr>
          <w:rFonts w:ascii="DilleniaUPC" w:hAnsi="DilleniaUPC" w:cs="DilleniaUPC"/>
          <w:sz w:val="30"/>
          <w:szCs w:val="30"/>
        </w:rPr>
        <w:t>/</w:t>
      </w:r>
      <w:r w:rsidR="00207E22">
        <w:rPr>
          <w:rFonts w:ascii="DilleniaUPC" w:hAnsi="DilleniaUPC" w:cs="DilleniaUPC"/>
          <w:sz w:val="30"/>
          <w:szCs w:val="30"/>
        </w:rPr>
        <w:t xml:space="preserve"> </w:t>
      </w:r>
      <w:r w:rsidR="001B0BE8">
        <w:rPr>
          <w:rFonts w:ascii="DilleniaUPC" w:hAnsi="DilleniaUPC" w:cs="DilleniaUPC" w:hint="cs"/>
          <w:sz w:val="30"/>
          <w:szCs w:val="30"/>
          <w:cs/>
        </w:rPr>
        <w:t>255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>7</w:t>
      </w:r>
      <w:bookmarkStart w:id="0" w:name="_GoBack"/>
      <w:bookmarkEnd w:id="0"/>
    </w:p>
    <w:p w:rsidR="0007175B" w:rsidRPr="0007175B" w:rsidRDefault="0007175B" w:rsidP="0007175B">
      <w:pPr>
        <w:spacing w:after="0" w:line="240" w:lineRule="auto"/>
        <w:rPr>
          <w:rFonts w:ascii="DilleniaUPC" w:hAnsi="DilleniaUPC" w:cs="DilleniaUPC"/>
          <w:sz w:val="20"/>
          <w:szCs w:val="20"/>
        </w:rPr>
      </w:pPr>
    </w:p>
    <w:p w:rsidR="00FF78B5" w:rsidRPr="0007175B" w:rsidRDefault="0007175B" w:rsidP="0007175B">
      <w:pPr>
        <w:tabs>
          <w:tab w:val="center" w:pos="5954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</w:rPr>
        <w:tab/>
      </w:r>
      <w:r w:rsidR="005824BA">
        <w:rPr>
          <w:rFonts w:ascii="DilleniaUPC" w:hAnsi="DilleniaUPC" w:cs="DilleniaUPC" w:hint="cs"/>
          <w:sz w:val="30"/>
          <w:szCs w:val="30"/>
          <w:cs/>
        </w:rPr>
        <w:t>24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 xml:space="preserve"> </w:t>
      </w:r>
      <w:r w:rsidR="00FF78B5" w:rsidRPr="0007175B">
        <w:rPr>
          <w:rFonts w:ascii="DilleniaUPC" w:hAnsi="DilleniaUPC" w:cs="DilleniaUPC"/>
          <w:sz w:val="30"/>
          <w:szCs w:val="30"/>
          <w:cs/>
        </w:rPr>
        <w:t xml:space="preserve"> </w:t>
      </w:r>
      <w:r w:rsidR="001B0BE8">
        <w:rPr>
          <w:rFonts w:ascii="DilleniaUPC" w:hAnsi="DilleniaUPC" w:cs="DilleniaUPC"/>
          <w:sz w:val="30"/>
          <w:szCs w:val="30"/>
          <w:cs/>
        </w:rPr>
        <w:t>ตุลาคม</w:t>
      </w:r>
      <w:r w:rsidR="001B0BE8">
        <w:rPr>
          <w:rFonts w:ascii="DilleniaUPC" w:hAnsi="DilleniaUPC" w:cs="DilleniaUPC" w:hint="cs"/>
          <w:sz w:val="30"/>
          <w:szCs w:val="30"/>
          <w:cs/>
        </w:rPr>
        <w:t xml:space="preserve">  255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>7</w:t>
      </w:r>
    </w:p>
    <w:p w:rsidR="0007175B" w:rsidRPr="0007175B" w:rsidRDefault="0007175B" w:rsidP="0007175B">
      <w:pPr>
        <w:spacing w:after="0" w:line="240" w:lineRule="auto"/>
        <w:jc w:val="center"/>
        <w:rPr>
          <w:rFonts w:ascii="DilleniaUPC" w:hAnsi="DilleniaUPC" w:cs="DilleniaUPC"/>
          <w:sz w:val="20"/>
          <w:szCs w:val="20"/>
        </w:rPr>
      </w:pPr>
    </w:p>
    <w:p w:rsidR="00FF78B5" w:rsidRPr="0007175B" w:rsidRDefault="00FF78B5" w:rsidP="0007175B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เรื่อง</w:t>
      </w:r>
      <w:r w:rsidRPr="0007175B">
        <w:rPr>
          <w:rFonts w:ascii="DilleniaUPC" w:hAnsi="DilleniaUPC" w:cs="DilleniaUPC"/>
          <w:sz w:val="30"/>
          <w:szCs w:val="30"/>
          <w:cs/>
        </w:rPr>
        <w:tab/>
      </w:r>
      <w:r w:rsidR="00645957" w:rsidRPr="0007175B">
        <w:rPr>
          <w:rFonts w:ascii="DilleniaUPC" w:hAnsi="DilleniaUPC" w:cs="DilleniaUPC"/>
          <w:sz w:val="30"/>
          <w:szCs w:val="30"/>
          <w:cs/>
        </w:rPr>
        <w:t>การ</w:t>
      </w:r>
      <w:r w:rsidR="00943C05" w:rsidRPr="0007175B">
        <w:rPr>
          <w:rFonts w:ascii="DilleniaUPC" w:hAnsi="DilleniaUPC" w:cs="DilleniaUPC"/>
          <w:sz w:val="30"/>
          <w:szCs w:val="30"/>
          <w:cs/>
        </w:rPr>
        <w:t>พิจารณา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>ทบทวน</w:t>
      </w:r>
      <w:r w:rsidR="00943C05" w:rsidRPr="0007175B">
        <w:rPr>
          <w:rFonts w:ascii="DilleniaUPC" w:hAnsi="DilleniaUPC" w:cs="DilleniaUPC"/>
          <w:sz w:val="30"/>
          <w:szCs w:val="30"/>
          <w:cs/>
        </w:rPr>
        <w:t>วงเงิน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>และระงับซื้อขายหลักทรัพย์ของลูกค้า</w:t>
      </w:r>
    </w:p>
    <w:p w:rsidR="0007175B" w:rsidRPr="0007175B" w:rsidRDefault="0007175B" w:rsidP="0007175B">
      <w:pPr>
        <w:spacing w:after="0" w:line="240" w:lineRule="auto"/>
        <w:rPr>
          <w:rFonts w:ascii="DilleniaUPC" w:hAnsi="DilleniaUPC" w:cs="DilleniaUPC"/>
          <w:sz w:val="20"/>
          <w:szCs w:val="20"/>
        </w:rPr>
      </w:pPr>
    </w:p>
    <w:p w:rsidR="00645957" w:rsidRPr="0007175B" w:rsidRDefault="00FF78B5" w:rsidP="0007175B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เรียน</w:t>
      </w:r>
      <w:r w:rsidRPr="0007175B">
        <w:rPr>
          <w:rFonts w:ascii="DilleniaUPC" w:hAnsi="DilleniaUPC" w:cs="DilleniaUPC"/>
          <w:sz w:val="30"/>
          <w:szCs w:val="30"/>
          <w:cs/>
        </w:rPr>
        <w:tab/>
        <w:t xml:space="preserve">กรรมการผู้จัดการ </w:t>
      </w:r>
    </w:p>
    <w:p w:rsidR="00FF78B5" w:rsidRPr="0007175B" w:rsidRDefault="00FF78B5" w:rsidP="0007175B">
      <w:pPr>
        <w:spacing w:after="0" w:line="240" w:lineRule="auto"/>
        <w:ind w:firstLine="720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บริษัทสมาชิกสมาคมบริษัทหลักทรัพย์ไทย</w:t>
      </w:r>
    </w:p>
    <w:p w:rsidR="0007175B" w:rsidRPr="0007175B" w:rsidRDefault="0007175B" w:rsidP="0007175B">
      <w:pPr>
        <w:spacing w:after="0" w:line="240" w:lineRule="auto"/>
        <w:ind w:firstLine="720"/>
        <w:rPr>
          <w:rFonts w:ascii="DilleniaUPC" w:hAnsi="DilleniaUPC" w:cs="DilleniaUPC"/>
          <w:sz w:val="20"/>
          <w:szCs w:val="20"/>
        </w:rPr>
      </w:pPr>
    </w:p>
    <w:p w:rsidR="00FF78B5" w:rsidRPr="0007175B" w:rsidRDefault="00CA4BEA" w:rsidP="0007175B">
      <w:pPr>
        <w:spacing w:after="0" w:line="240" w:lineRule="auto"/>
        <w:ind w:left="720" w:hanging="720"/>
        <w:jc w:val="both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อ้างถึง</w:t>
      </w:r>
      <w:r w:rsidRPr="0007175B">
        <w:rPr>
          <w:rFonts w:ascii="DilleniaUPC" w:hAnsi="DilleniaUPC" w:cs="DilleniaUPC"/>
          <w:sz w:val="30"/>
          <w:szCs w:val="30"/>
          <w:cs/>
        </w:rPr>
        <w:tab/>
      </w:r>
      <w:r w:rsidR="00645957" w:rsidRPr="0007175B">
        <w:rPr>
          <w:rFonts w:ascii="DilleniaUPC" w:hAnsi="DilleniaUPC" w:cs="DilleniaUPC"/>
          <w:sz w:val="30"/>
          <w:szCs w:val="30"/>
          <w:cs/>
        </w:rPr>
        <w:t xml:space="preserve">แนวทางการปฏิบัติงาน เรื่อง การพิจารณากำหนดวงเงินซื้อขายหลักทรัพย์ของลูกค้า </w:t>
      </w:r>
      <w:r w:rsidR="00FF78B5" w:rsidRPr="0007175B">
        <w:rPr>
          <w:rFonts w:ascii="DilleniaUPC" w:hAnsi="DilleniaUPC" w:cs="DilleniaUPC"/>
          <w:sz w:val="30"/>
          <w:szCs w:val="30"/>
          <w:cs/>
        </w:rPr>
        <w:t xml:space="preserve">ลงวันที่ </w:t>
      </w:r>
      <w:r w:rsidR="00645957" w:rsidRPr="0007175B">
        <w:rPr>
          <w:rFonts w:ascii="DilleniaUPC" w:hAnsi="DilleniaUPC" w:cs="DilleniaUPC"/>
          <w:sz w:val="30"/>
          <w:szCs w:val="30"/>
          <w:cs/>
        </w:rPr>
        <w:t>5 กุมภาพันธ์ 2557</w:t>
      </w:r>
      <w:r w:rsidR="00FF78B5" w:rsidRPr="0007175B">
        <w:rPr>
          <w:rFonts w:ascii="DilleniaUPC" w:hAnsi="DilleniaUPC" w:cs="DilleniaUPC"/>
          <w:sz w:val="30"/>
          <w:szCs w:val="30"/>
        </w:rPr>
        <w:t xml:space="preserve"> </w:t>
      </w:r>
      <w:r w:rsidR="00FF78B5" w:rsidRPr="0007175B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07175B" w:rsidRPr="0007175B" w:rsidRDefault="0007175B" w:rsidP="0007175B">
      <w:pPr>
        <w:spacing w:after="0" w:line="240" w:lineRule="auto"/>
        <w:ind w:left="720" w:hanging="720"/>
        <w:jc w:val="both"/>
        <w:rPr>
          <w:rFonts w:ascii="DilleniaUPC" w:hAnsi="DilleniaUPC" w:cs="DilleniaUPC"/>
          <w:sz w:val="30"/>
          <w:szCs w:val="30"/>
        </w:rPr>
      </w:pPr>
    </w:p>
    <w:p w:rsidR="00CC1C5C" w:rsidRPr="0007175B" w:rsidRDefault="00FF78B5" w:rsidP="0007175B">
      <w:pPr>
        <w:spacing w:after="0" w:line="240" w:lineRule="auto"/>
        <w:ind w:firstLine="720"/>
        <w:jc w:val="thaiDistribute"/>
        <w:rPr>
          <w:rFonts w:ascii="DilleniaUPC" w:eastAsia="Batang" w:hAnsi="DilleniaUPC" w:cs="DilleniaUPC"/>
          <w:b/>
          <w:bCs/>
          <w:sz w:val="30"/>
          <w:szCs w:val="30"/>
          <w:lang w:eastAsia="ko-KR"/>
        </w:rPr>
      </w:pPr>
      <w:r w:rsidRPr="0007175B">
        <w:rPr>
          <w:rFonts w:ascii="DilleniaUPC" w:hAnsi="DilleniaUPC" w:cs="DilleniaUPC"/>
          <w:sz w:val="30"/>
          <w:szCs w:val="30"/>
          <w:cs/>
        </w:rPr>
        <w:t>ตามที่</w:t>
      </w:r>
      <w:r w:rsidR="00CC1C5C" w:rsidRPr="0007175B">
        <w:rPr>
          <w:rFonts w:ascii="DilleniaUPC" w:hAnsi="DilleniaUPC" w:cs="DilleniaUPC"/>
          <w:sz w:val="30"/>
          <w:szCs w:val="30"/>
          <w:cs/>
        </w:rPr>
        <w:t xml:space="preserve">แนวทางการปฏิบัติงาน เรื่อง การพิจารณากำหนดวงเงินซื้อขายหลักทรัพย์ของลูกค้า ลงวันที่ 5 กุมภาพันธ์ 2557 </w:t>
      </w:r>
      <w:r w:rsidR="00045F52" w:rsidRPr="0007175B">
        <w:rPr>
          <w:rFonts w:ascii="DilleniaUPC" w:hAnsi="DilleniaUPC" w:cs="DilleniaUPC"/>
          <w:sz w:val="30"/>
          <w:szCs w:val="30"/>
          <w:cs/>
        </w:rPr>
        <w:t xml:space="preserve">ข้อ 6 </w:t>
      </w:r>
      <w:r w:rsidR="00CC1C5C" w:rsidRPr="0007175B">
        <w:rPr>
          <w:rFonts w:ascii="DilleniaUPC" w:hAnsi="DilleniaUPC" w:cs="DilleniaUPC"/>
          <w:sz w:val="30"/>
          <w:szCs w:val="30"/>
          <w:cs/>
        </w:rPr>
        <w:t xml:space="preserve">กำหนดให้ </w:t>
      </w:r>
      <w:r w:rsidR="00CC1C5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สมาชิกควรทบทวนวงเงินทันทีหรืออาจพิจารณาระงับการซื้อขายของลูกค้า กรณีที่พบว่าลูกค้ามีพฤติกรรมซื้อขายหลักทรัพย์ในลักษณะที่อาจไม่เหมาะสม  ซึ่งมีผลให้มีการเปลี่ยนแปลง หรือไม่มีการเปลี่ยนแปลงอันไม่ตรงต่อสภาพปกติของตลาด</w:t>
      </w:r>
      <w:r w:rsidR="00CC1C5C" w:rsidRPr="0007175B">
        <w:rPr>
          <w:rFonts w:ascii="DilleniaUPC" w:eastAsia="Calibri" w:hAnsi="DilleniaUPC" w:cs="DilleniaUPC"/>
          <w:sz w:val="30"/>
          <w:szCs w:val="30"/>
          <w:lang w:eastAsia="ko-KR"/>
        </w:rPr>
        <w:t xml:space="preserve"> (false market) </w:t>
      </w:r>
      <w:r w:rsidR="00CC1C5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หรือตามที่ตลาดหลักทรัพย์มีข้อสังเกต</w:t>
      </w:r>
      <w:r w:rsidR="00CC1C5C" w:rsidRPr="0007175B">
        <w:rPr>
          <w:rFonts w:ascii="DilleniaUPC" w:eastAsia="Calibri" w:hAnsi="DilleniaUPC" w:cs="DilleniaUPC"/>
          <w:sz w:val="30"/>
          <w:szCs w:val="30"/>
          <w:lang w:eastAsia="ko-KR"/>
        </w:rPr>
        <w:t xml:space="preserve"> </w:t>
      </w:r>
      <w:r w:rsidR="00CC1C5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หรือลูกค้ามีพฤติกรรมที่อาจเข้าข่ายการดำเนินการที่เป็นการฟอกเงินหรือการซื้อขายเป็นกลุ่ม หรือเป็น</w:t>
      </w:r>
      <w:r w:rsidR="00CC1C5C" w:rsidRPr="0007175B">
        <w:rPr>
          <w:rFonts w:ascii="DilleniaUPC" w:eastAsia="Calibri" w:hAnsi="DilleniaUPC" w:cs="DilleniaUPC"/>
          <w:sz w:val="30"/>
          <w:szCs w:val="30"/>
          <w:lang w:eastAsia="ko-KR"/>
        </w:rPr>
        <w:t xml:space="preserve"> nominee</w:t>
      </w:r>
      <w:r w:rsidR="00CC1C5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 xml:space="preserve">  </w:t>
      </w:r>
    </w:p>
    <w:p w:rsidR="0007175B" w:rsidRPr="0007175B" w:rsidRDefault="0007175B" w:rsidP="0007175B">
      <w:pPr>
        <w:spacing w:after="0" w:line="240" w:lineRule="auto"/>
        <w:ind w:firstLine="720"/>
        <w:jc w:val="thaiDistribute"/>
        <w:rPr>
          <w:rFonts w:ascii="DilleniaUPC" w:eastAsia="Batang" w:hAnsi="DilleniaUPC" w:cs="DilleniaUPC"/>
          <w:b/>
          <w:bCs/>
          <w:sz w:val="30"/>
          <w:szCs w:val="30"/>
          <w:lang w:eastAsia="ko-KR"/>
        </w:rPr>
      </w:pPr>
    </w:p>
    <w:p w:rsidR="001D712C" w:rsidRPr="0007175B" w:rsidRDefault="00FF78B5" w:rsidP="0007175B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  <w:r w:rsidR="00F8334B" w:rsidRPr="0007175B">
        <w:rPr>
          <w:rFonts w:ascii="DilleniaUPC" w:hAnsi="DilleniaUPC" w:cs="DilleniaUPC"/>
          <w:sz w:val="30"/>
          <w:szCs w:val="30"/>
          <w:cs/>
        </w:rPr>
        <w:t>ขอเรียนว่า</w:t>
      </w:r>
      <w:r w:rsidR="001D712C" w:rsidRPr="0007175B">
        <w:rPr>
          <w:rFonts w:ascii="DilleniaUPC" w:hAnsi="DilleniaUPC" w:cs="DilleniaUPC"/>
          <w:sz w:val="30"/>
          <w:szCs w:val="30"/>
          <w:cs/>
        </w:rPr>
        <w:t xml:space="preserve"> </w:t>
      </w:r>
      <w:r w:rsidR="00045F52" w:rsidRPr="0007175B">
        <w:rPr>
          <w:rFonts w:ascii="DilleniaUPC" w:hAnsi="DilleniaUPC" w:cs="DilleniaUPC"/>
          <w:sz w:val="30"/>
          <w:szCs w:val="30"/>
          <w:cs/>
        </w:rPr>
        <w:t>เพื่อให้</w:t>
      </w:r>
      <w:r w:rsidR="00C43DCD" w:rsidRPr="0007175B">
        <w:rPr>
          <w:rFonts w:ascii="DilleniaUPC" w:hAnsi="DilleniaUPC" w:cs="DilleniaUPC"/>
          <w:sz w:val="30"/>
          <w:szCs w:val="30"/>
          <w:cs/>
        </w:rPr>
        <w:t xml:space="preserve">เกิดความชัดเจน </w:t>
      </w:r>
      <w:r w:rsidR="00045F52" w:rsidRPr="0007175B">
        <w:rPr>
          <w:rFonts w:ascii="DilleniaUPC" w:hAnsi="DilleniaUPC" w:cs="DilleniaUPC"/>
          <w:sz w:val="30"/>
          <w:szCs w:val="30"/>
          <w:cs/>
        </w:rPr>
        <w:t>เป็นไปตามแนวทางการปฏิบัติงานดังกล่าวข้างต้น และเพื่อเป็นการป้องกันไม่ให้เกิดการซื้อขายในลักษณะไม่เหมาะสม หรือส่งผลให้ระดับราคาหลักทรัพย์เปลี่ยนแปลงผิดไปจากสภาพปกติของตลาด</w:t>
      </w:r>
      <w:r w:rsidR="0007175B" w:rsidRPr="0007175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45F52" w:rsidRPr="0007175B">
        <w:rPr>
          <w:rFonts w:ascii="DilleniaUPC" w:hAnsi="DilleniaUPC" w:cs="DilleniaUPC"/>
          <w:sz w:val="30"/>
          <w:szCs w:val="30"/>
          <w:cs/>
        </w:rPr>
        <w:t>จนอาจส่งผลกระทบต่อความเชื่อมั่นของระบบการซื้อขายหลัก</w:t>
      </w:r>
      <w:r w:rsidR="0007175B" w:rsidRPr="0007175B">
        <w:rPr>
          <w:rFonts w:ascii="DilleniaUPC" w:hAnsi="DilleniaUPC" w:cs="DilleniaUPC" w:hint="cs"/>
          <w:sz w:val="30"/>
          <w:szCs w:val="30"/>
          <w:cs/>
        </w:rPr>
        <w:t>ทรัพย์</w:t>
      </w:r>
      <w:r w:rsidR="00045F52" w:rsidRPr="0007175B">
        <w:rPr>
          <w:rFonts w:ascii="DilleniaUPC" w:hAnsi="DilleniaUPC" w:cs="DilleniaUPC"/>
          <w:sz w:val="30"/>
          <w:szCs w:val="30"/>
          <w:cs/>
        </w:rPr>
        <w:t xml:space="preserve">โดยรวมและก่อให้เกิดความเสียหายต่ออุตสาหกรรมธุรกิจหลักทรัพย์ </w:t>
      </w:r>
      <w:r w:rsidR="001D712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สมาชิกควรพิจารณา</w:t>
      </w:r>
      <w:r w:rsidR="00045F52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ทบทวน</w:t>
      </w:r>
      <w:r w:rsidR="001D712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วงเงินซื้อขายหลักทรัพย์</w:t>
      </w:r>
      <w:r w:rsidR="00045F52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หรืออาจพิจารณาระงับ</w:t>
      </w:r>
      <w:r w:rsidR="006F78B4" w:rsidRPr="006F78B4">
        <w:rPr>
          <w:rFonts w:ascii="DilleniaUPC" w:eastAsia="Calibri" w:hAnsi="DilleniaUPC" w:cs="DilleniaUPC"/>
          <w:sz w:val="30"/>
          <w:szCs w:val="30"/>
          <w:cs/>
          <w:lang w:eastAsia="ko-KR"/>
        </w:rPr>
        <w:t>การให้บริการการส่งคำสั่งซื้อขายหลักทรัพย์ผ่านระบบออนไลน์</w:t>
      </w:r>
      <w:r w:rsidR="00045F52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>ของลูกค้า</w:t>
      </w:r>
      <w:r w:rsidR="001D712C" w:rsidRPr="0007175B">
        <w:rPr>
          <w:rFonts w:ascii="DilleniaUPC" w:eastAsia="Calibri" w:hAnsi="DilleniaUPC" w:cs="DilleniaUPC"/>
          <w:sz w:val="30"/>
          <w:szCs w:val="30"/>
          <w:cs/>
          <w:lang w:eastAsia="ko-KR"/>
        </w:rPr>
        <w:t xml:space="preserve"> </w:t>
      </w:r>
      <w:r w:rsidR="0044196A">
        <w:rPr>
          <w:rFonts w:ascii="DilleniaUPC" w:hAnsi="DilleniaUPC" w:cs="DilleniaUPC" w:hint="cs"/>
          <w:sz w:val="30"/>
          <w:szCs w:val="30"/>
          <w:cs/>
        </w:rPr>
        <w:t xml:space="preserve">เป็นระยะเวลาอย่างน้อย 1 เดือน </w:t>
      </w:r>
      <w:r w:rsidR="001D712C" w:rsidRPr="0007175B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07175B" w:rsidRPr="0007175B" w:rsidRDefault="0007175B" w:rsidP="0007175B">
      <w:pPr>
        <w:spacing w:after="0" w:line="240" w:lineRule="auto"/>
        <w:ind w:firstLine="1440"/>
        <w:jc w:val="thaiDistribute"/>
        <w:rPr>
          <w:rFonts w:ascii="DilleniaUPC" w:hAnsi="DilleniaUPC" w:cs="DilleniaUPC"/>
          <w:sz w:val="30"/>
          <w:szCs w:val="30"/>
        </w:rPr>
      </w:pPr>
    </w:p>
    <w:p w:rsidR="001D712C" w:rsidRPr="0007175B" w:rsidRDefault="000139E4" w:rsidP="0007175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ให้สมาชิกพิจารณาลดวงเงินซื้อขายหลักทรัพย์ของลูกค้า</w:t>
      </w:r>
      <w:r w:rsidR="009708A6" w:rsidRPr="0007175B">
        <w:rPr>
          <w:rFonts w:ascii="DilleniaUPC" w:hAnsi="DilleniaUPC" w:cs="DilleniaUPC"/>
          <w:sz w:val="30"/>
          <w:szCs w:val="30"/>
          <w:cs/>
        </w:rPr>
        <w:t>ลง</w:t>
      </w:r>
      <w:r w:rsidRPr="0007175B">
        <w:rPr>
          <w:rFonts w:ascii="DilleniaUPC" w:hAnsi="DilleniaUPC" w:cs="DilleniaUPC"/>
          <w:sz w:val="30"/>
          <w:szCs w:val="30"/>
          <w:cs/>
        </w:rPr>
        <w:t>อย่างน้อยร้อยละ 20 ของวงเงินซื้อขายหลักทรัพย์เดิม</w:t>
      </w:r>
      <w:r w:rsidR="001D712C" w:rsidRPr="0007175B">
        <w:rPr>
          <w:rFonts w:ascii="DilleniaUPC" w:hAnsi="DilleniaUPC" w:cs="DilleniaUPC"/>
          <w:sz w:val="30"/>
          <w:szCs w:val="30"/>
          <w:cs/>
        </w:rPr>
        <w:t>กรณีที่ได้รับแจ้งหรือมีข้อสังเกตจากตลาดหลักทรัพย์</w:t>
      </w:r>
      <w:r w:rsidR="003416DF" w:rsidRPr="0007175B">
        <w:rPr>
          <w:rFonts w:ascii="DilleniaUPC" w:hAnsi="DilleniaUPC" w:cs="DilleniaUPC"/>
          <w:sz w:val="30"/>
          <w:szCs w:val="30"/>
          <w:cs/>
        </w:rPr>
        <w:t>ทางโทรศัพท์</w:t>
      </w:r>
      <w:r w:rsidR="005824B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D712C" w:rsidRPr="0007175B">
        <w:rPr>
          <w:rFonts w:ascii="DilleniaUPC" w:hAnsi="DilleniaUPC" w:cs="DilleniaUPC"/>
          <w:sz w:val="30"/>
          <w:szCs w:val="30"/>
          <w:cs/>
        </w:rPr>
        <w:t xml:space="preserve">ถึงพฤติกรรมการซื้อขายหลักทรัพย์ของลูกค้าที่อาจมีลักษณะไม่เหมาะสม </w:t>
      </w:r>
    </w:p>
    <w:p w:rsidR="0007175B" w:rsidRPr="0007175B" w:rsidRDefault="0007175B" w:rsidP="0007175B">
      <w:pPr>
        <w:tabs>
          <w:tab w:val="left" w:pos="1710"/>
        </w:tabs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DA62F2" w:rsidRDefault="000139E4" w:rsidP="00DA62F2">
      <w:pPr>
        <w:pStyle w:val="ListParagraph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thaiDistribute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 xml:space="preserve">ให้สมาชิกพิจารณาลดวงเงินซื้อขายหลักทรัพย์ของลูกค้าลงอย่างน้อยร้อยละ 50 ของวงเงินซื้อขายหลักทรัพย์เดิม และให้ระงับการให้บริการการส่งคำสั่งซื้อขายหลักทรัพย์ผ่านระบบออนไลน์ของลูกค้ารายดังกล่าว </w:t>
      </w:r>
      <w:r w:rsidR="000320F2" w:rsidRPr="0007175B">
        <w:rPr>
          <w:rFonts w:ascii="DilleniaUPC" w:hAnsi="DilleniaUPC" w:cs="DilleniaUPC"/>
          <w:sz w:val="30"/>
          <w:szCs w:val="30"/>
          <w:cs/>
        </w:rPr>
        <w:t>กรณี</w:t>
      </w:r>
      <w:r w:rsidR="005824BA">
        <w:rPr>
          <w:rFonts w:ascii="DilleniaUPC" w:hAnsi="DilleniaUPC" w:cs="DilleniaUPC" w:hint="cs"/>
          <w:sz w:val="30"/>
          <w:szCs w:val="30"/>
          <w:cs/>
        </w:rPr>
        <w:t>ที่</w:t>
      </w:r>
      <w:r w:rsidR="000320F2" w:rsidRPr="005824BA">
        <w:rPr>
          <w:rFonts w:ascii="DilleniaUPC" w:hAnsi="DilleniaUPC" w:cs="DilleniaUPC"/>
          <w:sz w:val="30"/>
          <w:szCs w:val="30"/>
          <w:cs/>
        </w:rPr>
        <w:t>ได้รับ</w:t>
      </w:r>
      <w:r w:rsidR="005824BA" w:rsidRPr="0007175B">
        <w:rPr>
          <w:rFonts w:ascii="DilleniaUPC" w:hAnsi="DilleniaUPC" w:cs="DilleniaUPC"/>
          <w:sz w:val="30"/>
          <w:szCs w:val="30"/>
          <w:cs/>
        </w:rPr>
        <w:t>หนังสือ</w:t>
      </w:r>
      <w:r w:rsidR="000320F2" w:rsidRPr="005824BA">
        <w:rPr>
          <w:rFonts w:ascii="DilleniaUPC" w:hAnsi="DilleniaUPC" w:cs="DilleniaUPC"/>
          <w:sz w:val="30"/>
          <w:szCs w:val="30"/>
          <w:cs/>
        </w:rPr>
        <w:t>แจ้งหรือมีข้อสังเกตจากตลาดหลักทรัพย์</w:t>
      </w:r>
      <w:r w:rsidR="005824BA" w:rsidRPr="005824BA">
        <w:rPr>
          <w:rFonts w:ascii="DilleniaUPC" w:hAnsi="DilleniaUPC" w:cs="DilleniaUPC"/>
          <w:sz w:val="30"/>
          <w:szCs w:val="30"/>
          <w:cs/>
        </w:rPr>
        <w:t xml:space="preserve">เป็นลายลักษณ์อักษร </w:t>
      </w:r>
      <w:r w:rsidR="005824BA" w:rsidRPr="005824BA">
        <w:rPr>
          <w:rFonts w:ascii="DilleniaUPC" w:hAnsi="DilleniaUPC" w:cs="DilleniaUPC" w:hint="cs"/>
          <w:sz w:val="30"/>
          <w:szCs w:val="30"/>
          <w:cs/>
        </w:rPr>
        <w:t>หรือ</w:t>
      </w:r>
      <w:r w:rsidR="003416DF" w:rsidRPr="005824BA">
        <w:rPr>
          <w:rFonts w:ascii="DilleniaUPC" w:hAnsi="DilleniaUPC" w:cs="DilleniaUPC"/>
          <w:sz w:val="30"/>
          <w:szCs w:val="30"/>
          <w:cs/>
        </w:rPr>
        <w:t>ทางจดหมายอิเล็กทรอนิกส์</w:t>
      </w:r>
      <w:r w:rsidR="009D04BB" w:rsidRPr="005824B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824BA" w:rsidRPr="005824BA">
        <w:rPr>
          <w:rFonts w:ascii="DilleniaUPC" w:hAnsi="DilleniaUPC" w:cs="DilleniaUPC"/>
          <w:sz w:val="30"/>
          <w:szCs w:val="30"/>
          <w:cs/>
        </w:rPr>
        <w:t xml:space="preserve">ถึงพฤติกรรมการซื้อขายหลักทรัพย์ของลูกค้าที่อาจมีลักษณะไม่เหมาะสม </w:t>
      </w:r>
    </w:p>
    <w:p w:rsidR="00DA62F2" w:rsidRPr="00DA62F2" w:rsidRDefault="00DA62F2" w:rsidP="00DA62F2">
      <w:pPr>
        <w:pStyle w:val="ListParagraph"/>
        <w:rPr>
          <w:rFonts w:ascii="DilleniaUPC" w:hAnsi="DilleniaUPC" w:cs="DilleniaUPC"/>
          <w:sz w:val="30"/>
          <w:szCs w:val="30"/>
          <w:cs/>
        </w:rPr>
      </w:pPr>
    </w:p>
    <w:p w:rsidR="007969C0" w:rsidRDefault="007969C0">
      <w:pPr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/>
          <w:sz w:val="30"/>
          <w:szCs w:val="30"/>
          <w:cs/>
        </w:rPr>
        <w:br w:type="page"/>
      </w:r>
    </w:p>
    <w:p w:rsidR="00BF7F76" w:rsidRPr="0007175B" w:rsidRDefault="006F78B4" w:rsidP="006F78B4">
      <w:pPr>
        <w:pStyle w:val="ListParagraph"/>
        <w:tabs>
          <w:tab w:val="center" w:pos="993"/>
        </w:tabs>
        <w:spacing w:after="0" w:line="240" w:lineRule="auto"/>
        <w:ind w:left="0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lastRenderedPageBreak/>
        <w:t>นอกจากนี้</w:t>
      </w:r>
      <w:r w:rsidR="009747A9" w:rsidRPr="00DA62F2">
        <w:rPr>
          <w:rFonts w:ascii="DilleniaUPC" w:hAnsi="DilleniaUPC" w:cs="DilleniaUPC"/>
          <w:sz w:val="30"/>
          <w:szCs w:val="30"/>
          <w:cs/>
        </w:rPr>
        <w:t>สมาชิก</w:t>
      </w:r>
      <w:r w:rsidR="00DA62F2">
        <w:rPr>
          <w:rFonts w:ascii="DilleniaUPC" w:hAnsi="DilleniaUPC" w:cs="DilleniaUPC" w:hint="cs"/>
          <w:sz w:val="30"/>
          <w:szCs w:val="30"/>
          <w:cs/>
        </w:rPr>
        <w:t>อาจพิจารณาดำ</w:t>
      </w:r>
      <w:r w:rsidR="009747A9" w:rsidRPr="00DA62F2">
        <w:rPr>
          <w:rFonts w:ascii="DilleniaUPC" w:hAnsi="DilleniaUPC" w:cs="DilleniaUPC"/>
          <w:sz w:val="30"/>
          <w:szCs w:val="30"/>
          <w:cs/>
        </w:rPr>
        <w:t>เนินการ</w:t>
      </w:r>
      <w:r w:rsidR="00DA62F2">
        <w:rPr>
          <w:rFonts w:ascii="DilleniaUPC" w:hAnsi="DilleniaUPC" w:cs="DilleniaUPC" w:hint="cs"/>
          <w:sz w:val="30"/>
          <w:szCs w:val="30"/>
          <w:cs/>
        </w:rPr>
        <w:t>อย่างหนึ่งอย่างใด</w:t>
      </w:r>
      <w:r w:rsidR="009747A9" w:rsidRPr="00DA62F2">
        <w:rPr>
          <w:rFonts w:ascii="DilleniaUPC" w:hAnsi="DilleniaUPC" w:cs="DilleniaUPC"/>
          <w:sz w:val="30"/>
          <w:szCs w:val="30"/>
          <w:cs/>
        </w:rPr>
        <w:t xml:space="preserve">ตามข้อ 1 </w:t>
      </w:r>
      <w:r w:rsidR="00DA62F2">
        <w:rPr>
          <w:rFonts w:ascii="DilleniaUPC" w:hAnsi="DilleniaUPC" w:cs="DilleniaUPC" w:hint="cs"/>
          <w:sz w:val="30"/>
          <w:szCs w:val="30"/>
          <w:cs/>
        </w:rPr>
        <w:t>หรือ ข้อ 2 หาก</w:t>
      </w:r>
      <w:r w:rsidR="00DA62F2" w:rsidRPr="00DA62F2">
        <w:rPr>
          <w:rFonts w:ascii="DilleniaUPC" w:hAnsi="DilleniaUPC" w:cs="DilleniaUPC"/>
          <w:sz w:val="30"/>
          <w:szCs w:val="30"/>
          <w:cs/>
        </w:rPr>
        <w:t>พบว่าลูกค้ามีพฤติกรรมซื้อขายหลักทรัพย์ในลักษณะที่อาจไม่เหมาะสม  ซึ่งมีผลให้มีการเปลี่ยนแปลง หรือไม่มีการเปลี่ยนแปลงอันไม่ตรงต่อสภาพปกติของตลาด (</w:t>
      </w:r>
      <w:r w:rsidR="00DA62F2" w:rsidRPr="00DA62F2">
        <w:rPr>
          <w:rFonts w:ascii="DilleniaUPC" w:hAnsi="DilleniaUPC" w:cs="DilleniaUPC"/>
          <w:sz w:val="30"/>
          <w:szCs w:val="30"/>
        </w:rPr>
        <w:t xml:space="preserve">false market) </w:t>
      </w:r>
      <w:r w:rsidR="00DA62F2" w:rsidRPr="00DA62F2">
        <w:rPr>
          <w:rFonts w:ascii="DilleniaUPC" w:hAnsi="DilleniaUPC" w:cs="DilleniaUPC"/>
          <w:sz w:val="30"/>
          <w:szCs w:val="30"/>
          <w:cs/>
        </w:rPr>
        <w:t xml:space="preserve">หรือลูกค้ามีพฤติกรรมที่อาจเข้าข่ายการดำเนินการที่เป็นการฟอกเงินหรือการซื้อขายเป็นกลุ่ม หรือเป็น </w:t>
      </w:r>
      <w:r w:rsidR="00DA62F2" w:rsidRPr="00DA62F2">
        <w:rPr>
          <w:rFonts w:ascii="DilleniaUPC" w:hAnsi="DilleniaUPC" w:cs="DilleniaUPC"/>
          <w:sz w:val="30"/>
          <w:szCs w:val="30"/>
        </w:rPr>
        <w:t xml:space="preserve">nominee  </w:t>
      </w:r>
      <w:r>
        <w:rPr>
          <w:rFonts w:ascii="DilleniaUPC" w:hAnsi="DilleniaUPC" w:cs="DilleniaUPC" w:hint="cs"/>
          <w:sz w:val="30"/>
          <w:szCs w:val="30"/>
          <w:cs/>
        </w:rPr>
        <w:t>รวมถึง</w:t>
      </w:r>
      <w:r w:rsidR="00BF7F76" w:rsidRPr="0007175B">
        <w:rPr>
          <w:rFonts w:ascii="DilleniaUPC" w:hAnsi="DilleniaUPC" w:cs="DilleniaUPC"/>
          <w:sz w:val="30"/>
          <w:szCs w:val="30"/>
          <w:cs/>
        </w:rPr>
        <w:t>ต้อง</w:t>
      </w:r>
      <w:r w:rsidR="00A00FF4" w:rsidRPr="0007175B">
        <w:rPr>
          <w:rFonts w:ascii="DilleniaUPC" w:hAnsi="DilleniaUPC" w:cs="DilleniaUPC"/>
          <w:sz w:val="30"/>
          <w:szCs w:val="30"/>
          <w:cs/>
        </w:rPr>
        <w:t>มีระบบควบคุมดูแลให้การปฏิบัติงาน</w:t>
      </w:r>
      <w:r w:rsidR="00BF7F76" w:rsidRPr="0007175B">
        <w:rPr>
          <w:rFonts w:ascii="DilleniaUPC" w:hAnsi="DilleniaUPC" w:cs="DilleniaUPC"/>
          <w:sz w:val="30"/>
          <w:szCs w:val="30"/>
          <w:cs/>
        </w:rPr>
        <w:t>เป็นไปตามแนวทางการปฏิบัติงานดังกล่าวข้างต้น</w:t>
      </w:r>
    </w:p>
    <w:p w:rsidR="00BF7F76" w:rsidRPr="0007175B" w:rsidRDefault="00BF7F76" w:rsidP="0007175B">
      <w:pPr>
        <w:pStyle w:val="ListParagraph"/>
        <w:spacing w:after="0" w:line="240" w:lineRule="auto"/>
        <w:ind w:left="1080"/>
        <w:jc w:val="thaiDistribute"/>
        <w:rPr>
          <w:rFonts w:ascii="DilleniaUPC" w:hAnsi="DilleniaUPC" w:cs="DilleniaUPC"/>
          <w:sz w:val="30"/>
          <w:szCs w:val="30"/>
        </w:rPr>
      </w:pPr>
    </w:p>
    <w:p w:rsidR="007E50C7" w:rsidRPr="0007175B" w:rsidRDefault="007E50C7" w:rsidP="0007175B">
      <w:pPr>
        <w:spacing w:after="0" w:line="240" w:lineRule="auto"/>
        <w:ind w:firstLine="709"/>
        <w:jc w:val="thaiDistribute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  <w:cs/>
        </w:rPr>
        <w:t>จึงเรียนมาเพื่อโปรดทราบและถือปฏิบัติต่อไป</w:t>
      </w:r>
    </w:p>
    <w:p w:rsidR="007E50C7" w:rsidRPr="0007175B" w:rsidRDefault="007E50C7" w:rsidP="0007175B">
      <w:pPr>
        <w:pStyle w:val="ListParagraph"/>
        <w:spacing w:after="0" w:line="240" w:lineRule="auto"/>
        <w:ind w:left="1080"/>
        <w:jc w:val="both"/>
        <w:rPr>
          <w:rFonts w:ascii="DilleniaUPC" w:hAnsi="DilleniaUPC" w:cs="DilleniaUPC"/>
          <w:sz w:val="30"/>
          <w:szCs w:val="30"/>
        </w:rPr>
      </w:pPr>
    </w:p>
    <w:p w:rsidR="00FF78B5" w:rsidRPr="0007175B" w:rsidRDefault="0007175B" w:rsidP="0007175B">
      <w:pPr>
        <w:tabs>
          <w:tab w:val="center" w:pos="5954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 w:hint="cs"/>
          <w:sz w:val="30"/>
          <w:szCs w:val="30"/>
          <w:cs/>
        </w:rPr>
        <w:tab/>
      </w:r>
      <w:r w:rsidR="007E50C7" w:rsidRPr="0007175B">
        <w:rPr>
          <w:rFonts w:ascii="DilleniaUPC" w:hAnsi="DilleniaUPC" w:cs="DilleniaUPC"/>
          <w:sz w:val="30"/>
          <w:szCs w:val="30"/>
          <w:cs/>
        </w:rPr>
        <w:t>ขอแสดงความนับถือ</w:t>
      </w:r>
    </w:p>
    <w:p w:rsidR="007E50C7" w:rsidRDefault="007E50C7" w:rsidP="0007175B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07175B" w:rsidRPr="0007175B" w:rsidRDefault="0007175B" w:rsidP="0007175B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7E50C7" w:rsidRPr="0007175B" w:rsidRDefault="007E50C7" w:rsidP="0007175B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7E50C7" w:rsidRPr="0007175B" w:rsidRDefault="0007175B" w:rsidP="0007175B">
      <w:pPr>
        <w:tabs>
          <w:tab w:val="center" w:pos="5954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07175B">
        <w:rPr>
          <w:rFonts w:ascii="DilleniaUPC" w:hAnsi="DilleniaUPC" w:cs="DilleniaUPC"/>
          <w:sz w:val="30"/>
          <w:szCs w:val="30"/>
        </w:rPr>
        <w:tab/>
      </w:r>
      <w:r w:rsidR="007E50C7" w:rsidRPr="0007175B">
        <w:rPr>
          <w:rFonts w:ascii="DilleniaUPC" w:hAnsi="DilleniaUPC" w:cs="DilleniaUPC"/>
          <w:sz w:val="30"/>
          <w:szCs w:val="30"/>
        </w:rPr>
        <w:t>(</w:t>
      </w:r>
      <w:proofErr w:type="gramStart"/>
      <w:r w:rsidRPr="0007175B">
        <w:rPr>
          <w:rFonts w:ascii="DilleniaUPC" w:hAnsi="DilleniaUPC" w:cs="DilleniaUPC" w:hint="cs"/>
          <w:sz w:val="30"/>
          <w:szCs w:val="30"/>
          <w:cs/>
        </w:rPr>
        <w:t xml:space="preserve">นางภัทธีรา  </w:t>
      </w:r>
      <w:r w:rsidRPr="0007175B">
        <w:rPr>
          <w:rFonts w:ascii="DilleniaUPC" w:hAnsi="DilleniaUPC" w:cs="DilleniaUPC"/>
          <w:sz w:val="30"/>
          <w:szCs w:val="30"/>
          <w:cs/>
        </w:rPr>
        <w:t>ดิลกรุ่งธีระภพ</w:t>
      </w:r>
      <w:proofErr w:type="gramEnd"/>
      <w:r w:rsidR="007E50C7" w:rsidRPr="0007175B">
        <w:rPr>
          <w:rFonts w:ascii="DilleniaUPC" w:hAnsi="DilleniaUPC" w:cs="DilleniaUPC"/>
          <w:sz w:val="30"/>
          <w:szCs w:val="30"/>
        </w:rPr>
        <w:t>)</w:t>
      </w:r>
    </w:p>
    <w:p w:rsidR="001E399D" w:rsidRPr="0007175B" w:rsidRDefault="0007175B" w:rsidP="0007175B">
      <w:pPr>
        <w:tabs>
          <w:tab w:val="center" w:pos="5954"/>
        </w:tabs>
        <w:spacing w:after="0" w:line="240" w:lineRule="auto"/>
        <w:rPr>
          <w:rFonts w:ascii="DilleniaUPC" w:hAnsi="DilleniaUPC" w:cs="DilleniaUPC"/>
          <w:sz w:val="30"/>
          <w:szCs w:val="30"/>
          <w:cs/>
        </w:rPr>
      </w:pPr>
      <w:r w:rsidRPr="0007175B"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>นายกสมาคม</w:t>
      </w:r>
    </w:p>
    <w:sectPr w:rsidR="001E399D" w:rsidRPr="0007175B" w:rsidSect="007969C0">
      <w:pgSz w:w="11907" w:h="16840" w:code="9"/>
      <w:pgMar w:top="1979" w:right="141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5D" w:rsidRDefault="00F45A5D" w:rsidP="00786FED">
      <w:pPr>
        <w:spacing w:after="0" w:line="240" w:lineRule="auto"/>
      </w:pPr>
      <w:r>
        <w:separator/>
      </w:r>
    </w:p>
  </w:endnote>
  <w:endnote w:type="continuationSeparator" w:id="0">
    <w:p w:rsidR="00F45A5D" w:rsidRDefault="00F45A5D" w:rsidP="0078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5D" w:rsidRDefault="00F45A5D" w:rsidP="00786FED">
      <w:pPr>
        <w:spacing w:after="0" w:line="240" w:lineRule="auto"/>
      </w:pPr>
      <w:r>
        <w:separator/>
      </w:r>
    </w:p>
  </w:footnote>
  <w:footnote w:type="continuationSeparator" w:id="0">
    <w:p w:rsidR="00F45A5D" w:rsidRDefault="00F45A5D" w:rsidP="0078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A011C5"/>
    <w:multiLevelType w:val="hybridMultilevel"/>
    <w:tmpl w:val="B418B498"/>
    <w:lvl w:ilvl="0" w:tplc="740E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A3526"/>
    <w:multiLevelType w:val="hybridMultilevel"/>
    <w:tmpl w:val="56185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5"/>
    <w:rsid w:val="000139E4"/>
    <w:rsid w:val="00014743"/>
    <w:rsid w:val="000320F2"/>
    <w:rsid w:val="00032CFA"/>
    <w:rsid w:val="00045F52"/>
    <w:rsid w:val="0007175B"/>
    <w:rsid w:val="000D0072"/>
    <w:rsid w:val="000E43F0"/>
    <w:rsid w:val="001248F2"/>
    <w:rsid w:val="001750DB"/>
    <w:rsid w:val="001B0BE8"/>
    <w:rsid w:val="001B414E"/>
    <w:rsid w:val="001D712C"/>
    <w:rsid w:val="001E399D"/>
    <w:rsid w:val="00204521"/>
    <w:rsid w:val="00207E22"/>
    <w:rsid w:val="0021302B"/>
    <w:rsid w:val="00216C79"/>
    <w:rsid w:val="00245CA0"/>
    <w:rsid w:val="002706D6"/>
    <w:rsid w:val="00272ACC"/>
    <w:rsid w:val="002B379D"/>
    <w:rsid w:val="002F6944"/>
    <w:rsid w:val="003416DF"/>
    <w:rsid w:val="00355042"/>
    <w:rsid w:val="0038005D"/>
    <w:rsid w:val="00386BCA"/>
    <w:rsid w:val="003D03A9"/>
    <w:rsid w:val="003D16A2"/>
    <w:rsid w:val="004031C1"/>
    <w:rsid w:val="0044196A"/>
    <w:rsid w:val="00474098"/>
    <w:rsid w:val="004A79EF"/>
    <w:rsid w:val="004D5735"/>
    <w:rsid w:val="004F0D29"/>
    <w:rsid w:val="004F5FC4"/>
    <w:rsid w:val="00533B36"/>
    <w:rsid w:val="005507AA"/>
    <w:rsid w:val="005824BA"/>
    <w:rsid w:val="005907B7"/>
    <w:rsid w:val="006448B1"/>
    <w:rsid w:val="00645957"/>
    <w:rsid w:val="00685C8E"/>
    <w:rsid w:val="006F78B4"/>
    <w:rsid w:val="00736C8F"/>
    <w:rsid w:val="00782452"/>
    <w:rsid w:val="00786FED"/>
    <w:rsid w:val="007969C0"/>
    <w:rsid w:val="007A0CDA"/>
    <w:rsid w:val="007E50C7"/>
    <w:rsid w:val="0094168F"/>
    <w:rsid w:val="00943C05"/>
    <w:rsid w:val="0094644B"/>
    <w:rsid w:val="00954F77"/>
    <w:rsid w:val="009708A6"/>
    <w:rsid w:val="009747A9"/>
    <w:rsid w:val="009D04BB"/>
    <w:rsid w:val="00A00FF4"/>
    <w:rsid w:val="00A36F92"/>
    <w:rsid w:val="00A62A02"/>
    <w:rsid w:val="00AC5DC5"/>
    <w:rsid w:val="00AD0F29"/>
    <w:rsid w:val="00AD6DB9"/>
    <w:rsid w:val="00AE09A2"/>
    <w:rsid w:val="00AE7B42"/>
    <w:rsid w:val="00B608F8"/>
    <w:rsid w:val="00B67F02"/>
    <w:rsid w:val="00B8620D"/>
    <w:rsid w:val="00BF1767"/>
    <w:rsid w:val="00BF7F76"/>
    <w:rsid w:val="00C2255A"/>
    <w:rsid w:val="00C43DCD"/>
    <w:rsid w:val="00C86DD7"/>
    <w:rsid w:val="00CA4BEA"/>
    <w:rsid w:val="00CC1C5C"/>
    <w:rsid w:val="00CD3362"/>
    <w:rsid w:val="00D24800"/>
    <w:rsid w:val="00D65228"/>
    <w:rsid w:val="00DA62F2"/>
    <w:rsid w:val="00E22292"/>
    <w:rsid w:val="00E3520A"/>
    <w:rsid w:val="00E41812"/>
    <w:rsid w:val="00F2408B"/>
    <w:rsid w:val="00F45A5D"/>
    <w:rsid w:val="00F66982"/>
    <w:rsid w:val="00F8334B"/>
    <w:rsid w:val="00FF0F3C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ED"/>
  </w:style>
  <w:style w:type="paragraph" w:styleId="Footer">
    <w:name w:val="footer"/>
    <w:basedOn w:val="Normal"/>
    <w:link w:val="FooterChar"/>
    <w:uiPriority w:val="99"/>
    <w:unhideWhenUsed/>
    <w:rsid w:val="0078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D"/>
  </w:style>
  <w:style w:type="paragraph" w:styleId="BalloonText">
    <w:name w:val="Balloon Text"/>
    <w:basedOn w:val="Normal"/>
    <w:link w:val="BalloonTextChar"/>
    <w:uiPriority w:val="99"/>
    <w:semiHidden/>
    <w:unhideWhenUsed/>
    <w:rsid w:val="00B67F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0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67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ED"/>
  </w:style>
  <w:style w:type="paragraph" w:styleId="Footer">
    <w:name w:val="footer"/>
    <w:basedOn w:val="Normal"/>
    <w:link w:val="FooterChar"/>
    <w:uiPriority w:val="99"/>
    <w:unhideWhenUsed/>
    <w:rsid w:val="0078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D"/>
  </w:style>
  <w:style w:type="paragraph" w:styleId="BalloonText">
    <w:name w:val="Balloon Text"/>
    <w:basedOn w:val="Normal"/>
    <w:link w:val="BalloonTextChar"/>
    <w:uiPriority w:val="99"/>
    <w:semiHidden/>
    <w:unhideWhenUsed/>
    <w:rsid w:val="00B67F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0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67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witawat</dc:creator>
  <cp:lastModifiedBy>user3</cp:lastModifiedBy>
  <cp:revision>9</cp:revision>
  <cp:lastPrinted>2014-10-22T09:43:00Z</cp:lastPrinted>
  <dcterms:created xsi:type="dcterms:W3CDTF">2014-10-22T08:02:00Z</dcterms:created>
  <dcterms:modified xsi:type="dcterms:W3CDTF">2015-05-08T03:57:00Z</dcterms:modified>
</cp:coreProperties>
</file>