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Default="00F75C4C" w:rsidP="00FE393B">
      <w:pPr>
        <w:ind w:right="-766"/>
        <w:rPr>
          <w:rFonts w:ascii="Browallia New" w:hAnsi="Browallia New" w:cs="Browallia New"/>
          <w:b/>
          <w:bCs/>
          <w:sz w:val="30"/>
          <w:szCs w:val="30"/>
        </w:rPr>
      </w:pPr>
      <w:bookmarkStart w:id="0" w:name="_GoBack"/>
      <w:bookmarkEnd w:id="0"/>
      <w:r>
        <w:rPr>
          <w:rFonts w:ascii="Browallia New" w:hAnsi="Browallia New" w:cs="Browallia New" w:hint="cs"/>
          <w:b/>
          <w:bCs/>
          <w:noProof/>
          <w:sz w:val="30"/>
          <w:szCs w:val="30"/>
          <w:lang w:eastAsia="en-US"/>
        </w:rPr>
        <w:drawing>
          <wp:inline distT="0" distB="0" distL="0" distR="0">
            <wp:extent cx="2816225" cy="746125"/>
            <wp:effectExtent l="0" t="0" r="3175" b="0"/>
            <wp:docPr id="1" name="Picture 1" descr="logo ASC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CO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8A" w:rsidRDefault="0044658A" w:rsidP="00971E21">
      <w:pPr>
        <w:ind w:right="-766"/>
        <w:jc w:val="center"/>
        <w:rPr>
          <w:rFonts w:ascii="Browallia New" w:hAnsi="Browallia New" w:cs="Browallia New" w:hint="cs"/>
          <w:b/>
          <w:bCs/>
          <w:sz w:val="30"/>
          <w:szCs w:val="30"/>
        </w:rPr>
      </w:pPr>
    </w:p>
    <w:p w:rsidR="002C53C3" w:rsidRPr="00D16D5E" w:rsidRDefault="007126D9" w:rsidP="00971E21">
      <w:pPr>
        <w:ind w:right="-766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D16D5E">
        <w:rPr>
          <w:rFonts w:ascii="DilleniaUPC" w:hAnsi="DilleniaUPC" w:cs="DilleniaUPC" w:hint="cs"/>
          <w:b/>
          <w:bCs/>
          <w:sz w:val="36"/>
          <w:szCs w:val="36"/>
          <w:cs/>
        </w:rPr>
        <w:t>วิธีปฏิบัติ</w:t>
      </w:r>
    </w:p>
    <w:p w:rsidR="00D766CF" w:rsidRPr="00D16D5E" w:rsidRDefault="000040E3" w:rsidP="00971E21">
      <w:pPr>
        <w:ind w:right="-766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D16D5E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D766CF" w:rsidRPr="00D16D5E">
        <w:rPr>
          <w:rFonts w:ascii="DilleniaUPC" w:hAnsi="DilleniaUPC" w:cs="DilleniaUPC"/>
          <w:b/>
          <w:bCs/>
          <w:sz w:val="36"/>
          <w:szCs w:val="36"/>
          <w:cs/>
        </w:rPr>
        <w:t>หลักเกณฑ์ และเ</w:t>
      </w:r>
      <w:r w:rsidR="007126D9" w:rsidRPr="00D16D5E">
        <w:rPr>
          <w:rFonts w:ascii="DilleniaUPC" w:hAnsi="DilleniaUPC" w:cs="DilleniaUPC"/>
          <w:b/>
          <w:bCs/>
          <w:sz w:val="36"/>
          <w:szCs w:val="36"/>
          <w:cs/>
        </w:rPr>
        <w:t>งื่อนไขการจ่ายค่าตอบแทน</w:t>
      </w:r>
      <w:r w:rsidR="007126D9" w:rsidRPr="00D16D5E">
        <w:rPr>
          <w:rFonts w:ascii="DilleniaUPC" w:hAnsi="DilleniaUPC" w:cs="DilleniaUPC" w:hint="cs"/>
          <w:b/>
          <w:bCs/>
          <w:sz w:val="36"/>
          <w:szCs w:val="36"/>
          <w:cs/>
        </w:rPr>
        <w:t>ผู้</w:t>
      </w:r>
      <w:r w:rsidR="00D766CF" w:rsidRPr="00D16D5E">
        <w:rPr>
          <w:rFonts w:ascii="DilleniaUPC" w:hAnsi="DilleniaUPC" w:cs="DilleniaUPC"/>
          <w:b/>
          <w:bCs/>
          <w:sz w:val="36"/>
          <w:szCs w:val="36"/>
          <w:cs/>
        </w:rPr>
        <w:t xml:space="preserve">แนะนำลูกค้า </w:t>
      </w:r>
    </w:p>
    <w:p w:rsidR="00B956D4" w:rsidRPr="00F73177" w:rsidRDefault="00B956D4" w:rsidP="00971E21">
      <w:pPr>
        <w:ind w:right="-766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F7317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FF55BE" w:rsidRPr="00F830B3" w:rsidRDefault="00AD493C" w:rsidP="00D16D5E">
      <w:pPr>
        <w:spacing w:before="120"/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เพื่อให้เกิดความชัดเจนและเป็นแนวปฏิบัติในเรื่องการจ่ายผลตอบแทน</w:t>
      </w:r>
      <w:r w:rsidR="007126D9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ผู้</w:t>
      </w: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แนะนำลูกค้า ที่สมาชิก</w:t>
      </w:r>
      <w:r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ทำ</w:t>
      </w:r>
      <w:r w:rsidR="007556C5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สัญญาแต่งตั้งตัวแทน</w:t>
      </w:r>
      <w:r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กับธนาคารพาณิชย์ บริษัทประกันภัย บริษัทประกันชีวิต บริษัทหลักทรัพย์จัดการกองทุน บริษัทตัวแทนสัญญาซื้อขายล่วงหน้า และพนักงานสมาชิกที่ไม่ใช่ผู้แนะนำการลงทุน</w:t>
      </w:r>
      <w:r w:rsidRPr="00F830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รวมถึง</w:t>
      </w:r>
      <w:r w:rsidR="007126D9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บุคคลและ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นิติบุคคลทั่วไป</w:t>
      </w:r>
      <w:r w:rsidRPr="00F830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ที่ขึ้นทะเบียนเป็นผู้แนะนำลูกค้าตาม</w:t>
      </w:r>
      <w:r w:rsidR="007556C5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หลัก</w:t>
      </w:r>
      <w:r w:rsidRPr="00F830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เกณฑ์ประกาศสมาคม 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เพื่อทำหน้าที่แนะนำลูกค้าให้กับสมาชิก </w:t>
      </w:r>
    </w:p>
    <w:p w:rsidR="00643429" w:rsidRPr="00F830B3" w:rsidRDefault="00FF55BE" w:rsidP="00D16D5E">
      <w:pPr>
        <w:ind w:right="-335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F830B3">
        <w:rPr>
          <w:rFonts w:ascii="Cordia New" w:hAnsi="Cordia New" w:cs="DilleniaUPC" w:hint="cs"/>
          <w:sz w:val="30"/>
          <w:szCs w:val="30"/>
          <w:cs/>
        </w:rPr>
        <w:t xml:space="preserve">โดยอาศัยอำนาจตามประกาศสมาคมบริษัทหลักทรัพย์ไทย ที่ กส. 1/2557 เรื่อง การปฏิบัติงานของสมาชิกในการแต่งตั้งผู้แนะนำลูกค้า ข้อ 8 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สมาคมบริษัทหลักทรัพย์ไทย โดยความเห็นชอบของคณะกรรมการสมาคมจึงเห็นควร กำหนดหลักเกณฑ์ และเงื่อนไขการจ่ายค่าตอบแทน</w:t>
      </w:r>
      <w:r w:rsidR="007126D9" w:rsidRPr="00F830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ผู้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แนะนำลูกค้า </w:t>
      </w:r>
      <w:r w:rsidR="00A12389" w:rsidRPr="00F830B3">
        <w:rPr>
          <w:rFonts w:ascii="DilleniaUPC" w:hAnsi="DilleniaUPC" w:cs="DilleniaUPC"/>
          <w:sz w:val="30"/>
          <w:szCs w:val="30"/>
          <w:cs/>
        </w:rPr>
        <w:t>เพื่อให้สมาชิกถือปฏิบัติ ดังนี้</w:t>
      </w:r>
    </w:p>
    <w:p w:rsidR="00257A6F" w:rsidRDefault="00CC3FE1" w:rsidP="00D16D5E">
      <w:pPr>
        <w:spacing w:before="160"/>
        <w:ind w:right="-335" w:firstLine="720"/>
        <w:jc w:val="thaiDistribute"/>
        <w:rPr>
          <w:rFonts w:ascii="DilleniaUPC" w:hAnsi="DilleniaUPC" w:cs="DilleniaUPC" w:hint="cs"/>
          <w:sz w:val="30"/>
          <w:szCs w:val="30"/>
          <w:lang w:eastAsia="en-US"/>
        </w:rPr>
      </w:pP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ข้อ 1</w:t>
      </w:r>
      <w:r w:rsidR="00257A6F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ในวิธีปฏิบัตินี้</w:t>
      </w:r>
    </w:p>
    <w:p w:rsidR="00257A6F" w:rsidRPr="00257A6F" w:rsidRDefault="00257A6F" w:rsidP="00D16D5E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“สำนักงาน ก.ล.ต.” หมายความว่า สำนักงานคณะกรรมการกำกับหลักทรัพย์และตลาดหลักทรัพย์</w:t>
      </w:r>
    </w:p>
    <w:p w:rsidR="00257A6F" w:rsidRPr="00257A6F" w:rsidRDefault="00257A6F" w:rsidP="00D16D5E">
      <w:pPr>
        <w:ind w:right="-335" w:firstLine="720"/>
        <w:jc w:val="thaiDistribute"/>
        <w:rPr>
          <w:rFonts w:ascii="DilleniaUPC" w:eastAsia="Times New Roman" w:hAnsi="DilleniaUPC" w:cs="DilleniaUPC" w:hint="cs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“ตลาดหลักทรัพย์”  หมายความว่า ตลาดหลักทรัพย์แห่งประเทศไทย</w:t>
      </w:r>
    </w:p>
    <w:p w:rsidR="00257A6F" w:rsidRPr="00257A6F" w:rsidRDefault="00257A6F" w:rsidP="00D16D5E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“สมาคม”  หมายความว่า สมาคมบริษัทหลักทรัพย์ไทย</w:t>
      </w:r>
    </w:p>
    <w:p w:rsidR="00257A6F" w:rsidRPr="00257A6F" w:rsidRDefault="00257A6F" w:rsidP="00D16D5E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/>
          <w:sz w:val="30"/>
          <w:szCs w:val="30"/>
          <w:lang w:eastAsia="en-US"/>
        </w:rPr>
        <w:t>“</w:t>
      </w: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สมาชิก</w:t>
      </w:r>
      <w:r w:rsidRPr="00257A6F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” </w:t>
      </w: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หมายความว่า บริษัทหลักทรัพย์ที่เป็นสมาชิกสมาคมบริษัทหลักทรัพย์ไทย</w:t>
      </w:r>
    </w:p>
    <w:p w:rsidR="00257A6F" w:rsidRPr="00257A6F" w:rsidRDefault="00257A6F" w:rsidP="00D16D5E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3062A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“ลูกค้า”  หมายความว่า บุคคลทั่วไป (</w:t>
      </w:r>
      <w:r w:rsidRPr="003062A1">
        <w:rPr>
          <w:rFonts w:ascii="DilleniaUPC" w:eastAsia="Times New Roman" w:hAnsi="DilleniaUPC" w:cs="DilleniaUPC"/>
          <w:sz w:val="30"/>
          <w:szCs w:val="30"/>
          <w:lang w:eastAsia="en-US"/>
        </w:rPr>
        <w:t>Individual Investor</w:t>
      </w:r>
      <w:r w:rsidRPr="003062A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) และนิติบุคคล โดยไม่รวมถึงลูกค้าสถาบันตามนิยามสำนักงาน ก.ล.ต.</w:t>
      </w:r>
    </w:p>
    <w:p w:rsidR="00257A6F" w:rsidRPr="00257A6F" w:rsidRDefault="00257A6F" w:rsidP="00D16D5E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/>
          <w:sz w:val="30"/>
          <w:szCs w:val="30"/>
          <w:lang w:eastAsia="en-US"/>
        </w:rPr>
        <w:t>“</w:t>
      </w: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หลักทรัพย์</w:t>
      </w:r>
      <w:r w:rsidRPr="00257A6F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” </w:t>
      </w: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หมายความว่า หลักทรัพย์ที่ซื้อขายในตลาดหลักทรัพย์ หรือตลาดหลักทรัพย์เอ็มเอไอ หรือสัญญาซื้อขายล่วงหน้าที่ซื้อขายในตลาดสัญญาซื้อขายล่วงหน้า</w:t>
      </w:r>
    </w:p>
    <w:p w:rsidR="00AD493C" w:rsidRPr="00CC3FE1" w:rsidRDefault="00257A6F" w:rsidP="00AB083F">
      <w:pPr>
        <w:pStyle w:val="NoSpacing"/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ข้อ 2 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ให้สมาชิกจ่ายค่าตอบแทน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สำหรับผู้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แนะนำลูกค้า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ที่เป็น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 ธนาคารพาณิชย์ บริษัทประกันภัย บริษัทประกัน</w:t>
      </w:r>
      <w:r w:rsidR="00D16D5E">
        <w:rPr>
          <w:rFonts w:ascii="DilleniaUPC" w:hAnsi="DilleniaUPC" w:cs="DilleniaUPC" w:hint="cs"/>
          <w:sz w:val="30"/>
          <w:szCs w:val="30"/>
          <w:cs/>
          <w:lang w:eastAsia="en-US"/>
        </w:rPr>
        <w:t>ชี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วิต บริษัทหลักทรัพย์จัดการกองทุน บริษัทตัวแทนสัญญาซื้อขายล่วงหน้า และพนักงานสมาชิกที่ไม่ใช่ผู้แนะนำการลงทุน ในอัตรา</w:t>
      </w:r>
      <w:r w:rsidR="00A85CA3">
        <w:rPr>
          <w:rFonts w:ascii="DilleniaUPC" w:hAnsi="DilleniaUPC" w:cs="DilleniaUPC" w:hint="cs"/>
          <w:sz w:val="30"/>
          <w:szCs w:val="30"/>
          <w:cs/>
          <w:lang w:eastAsia="en-US"/>
        </w:rPr>
        <w:t>และเงื่อนไข</w:t>
      </w:r>
      <w:r w:rsidR="00E67182">
        <w:rPr>
          <w:rFonts w:ascii="DilleniaUPC" w:hAnsi="DilleniaUPC" w:cs="DilleniaUPC" w:hint="cs"/>
          <w:sz w:val="30"/>
          <w:szCs w:val="30"/>
          <w:cs/>
          <w:lang w:eastAsia="en-US"/>
        </w:rPr>
        <w:t>ดังนี้</w:t>
      </w:r>
    </w:p>
    <w:p w:rsidR="00CC3FE1" w:rsidRDefault="00AD493C" w:rsidP="00975947">
      <w:pPr>
        <w:pStyle w:val="NoSpacing"/>
        <w:numPr>
          <w:ilvl w:val="0"/>
          <w:numId w:val="8"/>
        </w:numPr>
        <w:ind w:left="1701" w:right="-335" w:hanging="425"/>
        <w:jc w:val="thaiDistribute"/>
        <w:rPr>
          <w:rFonts w:ascii="DilleniaUPC" w:eastAsia="Times New Roman" w:hAnsi="DilleniaUPC" w:cs="DilleniaUPC" w:hint="cs"/>
          <w:sz w:val="30"/>
          <w:szCs w:val="30"/>
          <w:lang w:eastAsia="en-US"/>
        </w:rPr>
      </w:pP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ค่าตอบแทนครั้งแรก (</w:t>
      </w:r>
      <w:r w:rsidRPr="00CC3FE1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Up-Front-Fee) </w:t>
      </w: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ให้สมาชิกจ่ายได้ในอัตราไม่เกิน</w:t>
      </w:r>
      <w:r w:rsidRPr="00CC3FE1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 1,000</w:t>
      </w:r>
      <w:r w:rsidR="00D16D5E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บาท ทั้งนี้ ลูกค้าที่สมาชิกได้อนุมัติให้เปิดบัญชีและได้รับค่าธรรมเนียมจากการซื้อขายหลักทรัพย์และสัญญาซื้อขายล่วงหน้าจากลูกค้า</w:t>
      </w:r>
      <w:r w:rsidR="007556C5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ต้องไม่ต่ำกว่าอัตราที่สมาชิกจ่ายให้แก่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ธนาคารพาณิชย์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บริษัทประกันภัย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บริษัทประกันชีวิต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บริษัทหลักทรัพย์จัดการกองทุน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บริษัทตัวแทนสัญญาซื้อขายล่วงหน้า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>พนักงานสมาชิกที่ไม่ใช่ผู้แนะนำการลงทุน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รายนั้นๆ</w:t>
      </w:r>
    </w:p>
    <w:p w:rsidR="00CC3FE1" w:rsidRDefault="00AD493C" w:rsidP="00975947">
      <w:pPr>
        <w:pStyle w:val="NoSpacing"/>
        <w:numPr>
          <w:ilvl w:val="0"/>
          <w:numId w:val="8"/>
        </w:numPr>
        <w:ind w:left="1701" w:right="-335" w:hanging="425"/>
        <w:jc w:val="thaiDistribute"/>
        <w:rPr>
          <w:rFonts w:ascii="DilleniaUPC" w:eastAsia="Times New Roman" w:hAnsi="DilleniaUPC" w:cs="DilleniaUPC" w:hint="cs"/>
          <w:sz w:val="30"/>
          <w:szCs w:val="30"/>
          <w:lang w:eastAsia="en-US"/>
        </w:rPr>
      </w:pP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ค่าตอบแทนหลังจากรับเป็นลูกค้า </w:t>
      </w:r>
      <w:r w:rsidRPr="00CC3FE1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(Retaining Fee) </w:t>
      </w:r>
      <w:r w:rsidRPr="00CC3FE1">
        <w:rPr>
          <w:rFonts w:ascii="DilleniaUPC" w:hAnsi="DilleniaUPC" w:cs="DilleniaUPC"/>
          <w:sz w:val="30"/>
          <w:szCs w:val="30"/>
          <w:lang w:eastAsia="en-US"/>
        </w:rPr>
        <w:t xml:space="preserve">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ให้จ่ายได้เป็นเวลาไม่เกิน 2 ปี 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7556C5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เปิดบัญชีซื้อขายหลักทรัพย์ของลูกค้ารายนั้นๆ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ในอัตราดังนี้</w:t>
      </w:r>
    </w:p>
    <w:p w:rsidR="00CC3FE1" w:rsidRDefault="00CC3FE1" w:rsidP="00975947">
      <w:pPr>
        <w:pStyle w:val="NoSpacing"/>
        <w:ind w:left="2127" w:right="-335" w:hanging="425"/>
        <w:jc w:val="thaiDistribute"/>
        <w:rPr>
          <w:rFonts w:ascii="DilleniaUPC" w:eastAsia="Times New Roman" w:hAnsi="DilleniaUPC" w:cs="DilleniaUPC" w:hint="cs"/>
          <w:sz w:val="30"/>
          <w:szCs w:val="30"/>
          <w:lang w:eastAsia="en-US"/>
        </w:rPr>
      </w:pP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lastRenderedPageBreak/>
        <w:t xml:space="preserve">(2.1) </w:t>
      </w:r>
      <w:r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ปีที่ 1</w:t>
      </w: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7556C5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เปิดบัญชีซื้อขายหลักทรัพย์ของลูกค้ารายนั้นๆ ให้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จ่ายในอัตรา</w:t>
      </w:r>
      <w:r w:rsidR="00AB083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   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ไม่เกินร้อยละ 10 ของค่าธรรมเนียมที่สมาชิกได้รับตามมูลค่าการซื้อขายหลักทรัพย์และสัญญาซื้อขายล่วงหน้าของลูกค้าที่แนะนำมา</w:t>
      </w:r>
    </w:p>
    <w:p w:rsidR="00AD493C" w:rsidRPr="00CC3FE1" w:rsidRDefault="00CC3FE1" w:rsidP="00975947">
      <w:pPr>
        <w:pStyle w:val="NoSpacing"/>
        <w:ind w:left="2127" w:right="-335" w:hanging="425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(2.2) 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ปีที่ 2 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7556C5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เปิดบัญชีซื้อขายหลักทรัพย์ของลูกค้ารายนั้นๆ ให้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จ่ายในอัตรา</w:t>
      </w:r>
      <w:r w:rsidR="00AB083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   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ไม่เกินร้อยละ 5 ของค่าธรรมเนียมที่สมาชิกได้รับตามมูลค่าการซื้อขายหลักทรัพย์ และสัญญาซื้อขายล่วงหน้าของลูกค้าที่แนะนำมา</w:t>
      </w:r>
    </w:p>
    <w:p w:rsidR="00D766CF" w:rsidRPr="00F73177" w:rsidRDefault="00CC3FE1" w:rsidP="00AB083F">
      <w:pPr>
        <w:spacing w:before="160"/>
        <w:ind w:right="-335"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257A6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ให้สมาชิกจ่ายค่าตอบแทนให้แก่</w:t>
      </w:r>
      <w:r w:rsidR="007126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ผู้แนะนำลูกค้าที่เป็น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บุคคล</w:t>
      </w:r>
      <w:r w:rsidR="007556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ธรรมดาและ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นิติบุคคล</w:t>
      </w:r>
      <w:r w:rsidR="007126D9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ทั่วไป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ที่ขึ้นทะเบียน</w:t>
      </w:r>
      <w:r w:rsidR="00DD2632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</w:t>
      </w:r>
      <w:r w:rsidR="00EF7CD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DD2632">
        <w:rPr>
          <w:rFonts w:ascii="DilleniaUPC" w:eastAsia="Calibri" w:hAnsi="DilleniaUPC" w:cs="DilleniaUPC"/>
          <w:sz w:val="30"/>
          <w:szCs w:val="30"/>
          <w:cs/>
          <w:lang w:eastAsia="en-US"/>
        </w:rPr>
        <w:t>ผู้แนะนำลูกค้า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กับสมาคม</w:t>
      </w:r>
      <w:r w:rsidR="007556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ในอัตรา</w:t>
      </w:r>
      <w:r w:rsidR="00A85CA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และเงื่อนไข</w:t>
      </w:r>
      <w:r w:rsidR="00E671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ดังนี้</w:t>
      </w:r>
    </w:p>
    <w:p w:rsidR="00CC3FE1" w:rsidRDefault="00D766CF" w:rsidP="00975947">
      <w:pPr>
        <w:pStyle w:val="NoSpacing"/>
        <w:numPr>
          <w:ilvl w:val="0"/>
          <w:numId w:val="9"/>
        </w:numPr>
        <w:ind w:left="1701" w:right="-335" w:hanging="425"/>
        <w:jc w:val="thaiDistribute"/>
        <w:rPr>
          <w:rFonts w:ascii="DilleniaUPC" w:hAnsi="DilleniaUPC" w:cs="DilleniaUPC" w:hint="cs"/>
          <w:sz w:val="30"/>
          <w:szCs w:val="30"/>
          <w:lang w:eastAsia="en-US"/>
        </w:rPr>
      </w:pP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ค่าตอบแทนครั้งแรก (</w:t>
      </w:r>
      <w:r w:rsidRPr="00CC3FE1">
        <w:rPr>
          <w:rFonts w:ascii="DilleniaUPC" w:hAnsi="DilleniaUPC" w:cs="DilleniaUPC"/>
          <w:sz w:val="30"/>
          <w:szCs w:val="30"/>
          <w:lang w:eastAsia="en-US"/>
        </w:rPr>
        <w:t xml:space="preserve">Up-Front-Fee)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ให้สมาชิกจ่ายได้ในอัตราไม่เกินกว่า</w:t>
      </w:r>
      <w:r w:rsidRPr="00CC3FE1">
        <w:rPr>
          <w:rFonts w:ascii="DilleniaUPC" w:hAnsi="DilleniaUPC" w:cs="DilleniaUPC"/>
          <w:sz w:val="30"/>
          <w:szCs w:val="30"/>
          <w:lang w:eastAsia="en-US"/>
        </w:rPr>
        <w:t xml:space="preserve"> 1,000</w:t>
      </w:r>
      <w:r w:rsidR="00D16D5E">
        <w:rPr>
          <w:rFonts w:ascii="DilleniaUPC" w:hAnsi="DilleniaUPC" w:cs="DilleniaUPC"/>
          <w:sz w:val="30"/>
          <w:szCs w:val="30"/>
          <w:lang w:eastAsia="en-US"/>
        </w:rPr>
        <w:t xml:space="preserve">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บาท ทั้งนี้ ลูกค้าที่สมาชิกได้อนุมัติให้เปิดบัญชี และได้รับค่าธรรมเนียมจากการซื้อขายหลักทรัพย์และสัญญาซื้อขายล่วงหน้าจากลูกค้า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ต้องไม่ต่ำกว่าอัตราที่สมาชิกจ่ายให้แก่ผู้แนะนำลูกค้า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>รายนั้นๆ</w:t>
      </w:r>
    </w:p>
    <w:p w:rsidR="00D766CF" w:rsidRPr="00CC3FE1" w:rsidRDefault="00D766CF" w:rsidP="00975947">
      <w:pPr>
        <w:pStyle w:val="NoSpacing"/>
        <w:numPr>
          <w:ilvl w:val="0"/>
          <w:numId w:val="9"/>
        </w:numPr>
        <w:ind w:left="1701" w:right="-335" w:hanging="425"/>
        <w:jc w:val="thaiDistribute"/>
        <w:rPr>
          <w:rFonts w:ascii="DilleniaUPC" w:hAnsi="DilleniaUPC" w:cs="DilleniaUPC"/>
          <w:sz w:val="30"/>
          <w:szCs w:val="30"/>
          <w:cs/>
          <w:lang w:eastAsia="en-US"/>
        </w:rPr>
      </w:pP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ค่าตอบแทนหลังจากรับเป็นลูกค้า </w:t>
      </w:r>
      <w:r w:rsidRPr="00CC3FE1">
        <w:rPr>
          <w:rFonts w:ascii="DilleniaUPC" w:hAnsi="DilleniaUPC" w:cs="DilleniaUPC"/>
          <w:sz w:val="30"/>
          <w:szCs w:val="30"/>
          <w:lang w:eastAsia="en-US"/>
        </w:rPr>
        <w:t xml:space="preserve">(Retaining Fee)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ให้จ่ายได้ในอัตราดังนี้</w:t>
      </w:r>
    </w:p>
    <w:p w:rsidR="00CC3FE1" w:rsidRDefault="00CC3FE1" w:rsidP="00975947">
      <w:pPr>
        <w:pStyle w:val="NoSpacing"/>
        <w:ind w:left="2127" w:right="-335" w:hanging="426"/>
        <w:jc w:val="thaiDistribute"/>
        <w:rPr>
          <w:rFonts w:ascii="DilleniaUPC" w:hAnsi="DilleniaUPC" w:cs="DilleniaUPC" w:hint="cs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>(2.1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) ปีที่ 1</w:t>
      </w:r>
      <w:r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เปิดบัญชีซื้อขายหลักทรัพย์ของลูกค้ารายนั้นๆ ให้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จ่ายในอัตรา</w:t>
      </w:r>
      <w:r w:rsidR="00EF7CDE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   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ไม่เกินร้อยละ 10 ของค่าธรรมเนียมที่สมาชิกได้รับตามมูลค่าการซื้อขายหลักทรัพย์และสัญญาซื้อขายล่วงหน้าของลูกค้าที่แนะนำมา</w:t>
      </w:r>
    </w:p>
    <w:p w:rsidR="00CC3FE1" w:rsidRDefault="00CC3FE1" w:rsidP="00975947">
      <w:pPr>
        <w:pStyle w:val="NoSpacing"/>
        <w:ind w:left="2127" w:right="-335" w:hanging="426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>(2.2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) ตั้งแต่ปีที่ 2 เป็นต้นไป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เปิดบัญชีซื้อขายหลักทรัพย์ของลูกค้ารายนั้นๆ ให้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จ่ายในอัตราไม่เกินร้อยละ 5 ของค่าธรรมเนียมที่สมาชิกได้รับตามมูลค่าการซื้อขายหลักทรัพย์ และสัญญาซื้อขายล่วงหน้าของลูกค้าที่แนะนำมา</w:t>
      </w:r>
    </w:p>
    <w:p w:rsidR="00CC3FE1" w:rsidRDefault="00CC3FE1" w:rsidP="00975947">
      <w:pPr>
        <w:pStyle w:val="NoSpacing"/>
        <w:ind w:left="2127" w:right="-335" w:hanging="426"/>
        <w:jc w:val="thaiDistribute"/>
        <w:rPr>
          <w:rFonts w:ascii="DilleniaUPC" w:hAnsi="DilleniaUPC" w:cs="DilleniaUPC" w:hint="cs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>(2.3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) </w:t>
      </w:r>
      <w:r w:rsidR="00F830B3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สมาชิกไม่สามารถจ่ายค่าตอบแทน </w:t>
      </w:r>
      <w:r w:rsidR="00F830B3" w:rsidRPr="00CC3FE1">
        <w:rPr>
          <w:rFonts w:ascii="DilleniaUPC" w:hAnsi="DilleniaUPC" w:cs="DilleniaUPC"/>
          <w:sz w:val="30"/>
          <w:szCs w:val="30"/>
          <w:lang w:eastAsia="en-US"/>
        </w:rPr>
        <w:t xml:space="preserve">(Retaining Fee) 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ในช่วงระยะเวลาที่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ผู้แนะนำลูกค้า</w:t>
      </w:r>
      <w:r w:rsidR="00766160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  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ถูก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ห้ามปฏิบัติหน้าที่</w:t>
      </w:r>
      <w:r w:rsidR="0003594C">
        <w:rPr>
          <w:rFonts w:ascii="DilleniaUPC" w:hAnsi="DilleniaUPC" w:cs="DilleniaUPC" w:hint="cs"/>
          <w:sz w:val="30"/>
          <w:szCs w:val="30"/>
          <w:cs/>
          <w:lang w:eastAsia="en-US"/>
        </w:rPr>
        <w:t>ชั่วคราว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พ้นสภาพการ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เป็นผู้แนะนำลูกค้า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>ที่ขึ้นทะเบียนกับสมาคม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 ยกเว้นกรณีหมดอายุการขึ้นทะเบียนหรืออยู่ระหว่างการต่ออายุการขึ้นทะเบียน สมาชิกสามารถจ่ายค่าตอบแทนได้จนครบกำหนดสัญญา</w:t>
      </w:r>
    </w:p>
    <w:p w:rsidR="00D766CF" w:rsidRPr="00CC3FE1" w:rsidRDefault="00CC3FE1" w:rsidP="00975947">
      <w:pPr>
        <w:pStyle w:val="NoSpacing"/>
        <w:ind w:left="2127" w:right="-335" w:hanging="426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>(2.4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) กรณีบัญชีลูกค้าที่แนะนำมาไม่มีรายการเคลื่อนไหว (</w:t>
      </w:r>
      <w:r w:rsidR="00AD493C" w:rsidRPr="00CC3FE1">
        <w:rPr>
          <w:rFonts w:ascii="DilleniaUPC" w:hAnsi="DilleniaUPC" w:cs="DilleniaUPC"/>
          <w:sz w:val="30"/>
          <w:szCs w:val="30"/>
          <w:lang w:eastAsia="en-US"/>
        </w:rPr>
        <w:t>Inactive)</w:t>
      </w:r>
      <w:r w:rsidR="00975947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มากกว่า 2 ปี </w:t>
      </w:r>
      <w:r w:rsidR="003062A1" w:rsidRPr="003062A1">
        <w:rPr>
          <w:rFonts w:ascii="DilleniaUPC" w:hAnsi="DilleniaUPC" w:cs="DilleniaUPC" w:hint="cs"/>
          <w:sz w:val="30"/>
          <w:szCs w:val="30"/>
          <w:cs/>
          <w:lang w:eastAsia="en-US"/>
        </w:rPr>
        <w:t>ส</w:t>
      </w:r>
      <w:r w:rsidR="003062A1">
        <w:rPr>
          <w:rFonts w:ascii="DilleniaUPC" w:hAnsi="DilleniaUPC" w:cs="DilleniaUPC" w:hint="cs"/>
          <w:sz w:val="30"/>
          <w:szCs w:val="30"/>
          <w:cs/>
          <w:lang w:eastAsia="en-US"/>
        </w:rPr>
        <w:t>มาชิก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อาจพิจารณายกเลิกหรือไม่จ่ายค่าตอบแทนหลังจากรับเป็นลูกค้า </w:t>
      </w:r>
      <w:r w:rsidR="00AD493C" w:rsidRPr="00CC3FE1">
        <w:rPr>
          <w:rFonts w:ascii="DilleniaUPC" w:hAnsi="DilleniaUPC" w:cs="DilleniaUPC"/>
          <w:sz w:val="30"/>
          <w:szCs w:val="30"/>
          <w:lang w:eastAsia="en-US"/>
        </w:rPr>
        <w:t>(Retaining Fee)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 สำหรับบัญชีลูกค้ารายนั้นๆให้แก่ผู้แนะนำลูกค้าได้</w:t>
      </w:r>
    </w:p>
    <w:p w:rsidR="00D766CF" w:rsidRPr="00D766CF" w:rsidRDefault="0062208B" w:rsidP="00766160">
      <w:pPr>
        <w:tabs>
          <w:tab w:val="left" w:pos="720"/>
        </w:tabs>
        <w:spacing w:before="160"/>
        <w:ind w:right="-335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ab/>
      </w:r>
      <w:r w:rsidR="00CC3FE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ข้อ </w:t>
      </w:r>
      <w:r w:rsid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4</w:t>
      </w:r>
      <w:r w:rsidR="00CC3FE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ค่าตอบแทนหลังจากรับเป็นลูกค้า </w:t>
      </w:r>
      <w:r w:rsidR="00D766CF" w:rsidRPr="00D766CF">
        <w:rPr>
          <w:rFonts w:ascii="DilleniaUPC" w:eastAsia="Times New Roman" w:hAnsi="DilleniaUPC" w:cs="DilleniaUPC"/>
          <w:sz w:val="30"/>
          <w:szCs w:val="30"/>
          <w:lang w:eastAsia="en-US"/>
        </w:rPr>
        <w:t>(Retaining Fee)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ที่จ่ายให้</w:t>
      </w:r>
      <w:r w:rsidR="00DD263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ตามข้อ </w:t>
      </w:r>
      <w:r w:rsid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2</w:t>
      </w:r>
      <w:r w:rsidR="00DD263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(2) และข้อ </w:t>
      </w:r>
      <w:r w:rsid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3</w:t>
      </w:r>
      <w:r w:rsidR="00DD263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(2)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เมื่อรวมกับค่าตอบแทนที่ผู้แนะนำการลงทุน (</w:t>
      </w:r>
      <w:r w:rsidR="00D766CF" w:rsidRPr="00D766CF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IC) 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ได้รับ</w:t>
      </w:r>
      <w:r w:rsidR="00D766CF" w:rsidRPr="00D766CF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 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จะต้องไม่เกินอัตราค่าตอบแทนสูงสุด</w:t>
      </w:r>
      <w:r w:rsidR="00CD36A9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ที่กำหนดไว้</w:t>
      </w:r>
      <w:r w:rsidR="0036186E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ตามประกาศสมาคม เรื่องการจ่ายค่าตอบแทนให้แก่ผู้แนะนำการลงทุน ผู้จัดการสาขา</w:t>
      </w:r>
      <w:r w:rsidR="00766160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="0036186E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และหัวหน้าทีมการตลาด</w:t>
      </w:r>
    </w:p>
    <w:p w:rsidR="00D677F0" w:rsidRPr="00F73177" w:rsidRDefault="007126D9" w:rsidP="00766160">
      <w:pPr>
        <w:spacing w:before="200"/>
        <w:ind w:right="-85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="00CC3FE1">
        <w:rPr>
          <w:rFonts w:ascii="DilleniaUPC" w:hAnsi="DilleniaUPC" w:cs="DilleniaUPC"/>
          <w:sz w:val="30"/>
          <w:szCs w:val="30"/>
          <w:cs/>
        </w:rPr>
        <w:t xml:space="preserve">นี้มีผลบังคับตั้งแต่วันที่ </w:t>
      </w:r>
      <w:r w:rsidR="00CC3FE1">
        <w:rPr>
          <w:rFonts w:ascii="DilleniaUPC" w:hAnsi="DilleniaUPC" w:cs="DilleniaUPC" w:hint="cs"/>
          <w:sz w:val="30"/>
          <w:szCs w:val="30"/>
          <w:cs/>
        </w:rPr>
        <w:t>1</w:t>
      </w:r>
      <w:r w:rsidR="00D677F0" w:rsidRPr="00F73177">
        <w:rPr>
          <w:rFonts w:ascii="DilleniaUPC" w:hAnsi="DilleniaUPC" w:cs="DilleniaUPC"/>
          <w:sz w:val="30"/>
          <w:szCs w:val="30"/>
          <w:cs/>
        </w:rPr>
        <w:t xml:space="preserve"> </w:t>
      </w:r>
      <w:r w:rsidR="00CC3FE1">
        <w:rPr>
          <w:rFonts w:ascii="DilleniaUPC" w:hAnsi="DilleniaUPC" w:cs="DilleniaUPC" w:hint="cs"/>
          <w:sz w:val="30"/>
          <w:szCs w:val="30"/>
          <w:cs/>
        </w:rPr>
        <w:t>มีน</w:t>
      </w:r>
      <w:r w:rsidR="002F1ADB" w:rsidRPr="00F73177">
        <w:rPr>
          <w:rFonts w:ascii="DilleniaUPC" w:hAnsi="DilleniaUPC" w:cs="DilleniaUPC"/>
          <w:sz w:val="30"/>
          <w:szCs w:val="30"/>
          <w:cs/>
        </w:rPr>
        <w:t>า</w:t>
      </w:r>
      <w:r w:rsidR="00D677F0" w:rsidRPr="00F73177">
        <w:rPr>
          <w:rFonts w:ascii="DilleniaUPC" w:hAnsi="DilleniaUPC" w:cs="DilleniaUPC"/>
          <w:sz w:val="30"/>
          <w:szCs w:val="30"/>
          <w:cs/>
        </w:rPr>
        <w:t xml:space="preserve">คม </w:t>
      </w:r>
      <w:r w:rsidR="00CC3FE1">
        <w:rPr>
          <w:rFonts w:ascii="DilleniaUPC" w:hAnsi="DilleniaUPC" w:cs="DilleniaUPC"/>
          <w:sz w:val="30"/>
          <w:szCs w:val="30"/>
          <w:cs/>
        </w:rPr>
        <w:t>255</w:t>
      </w:r>
      <w:r w:rsidR="00CC3FE1">
        <w:rPr>
          <w:rFonts w:ascii="DilleniaUPC" w:hAnsi="DilleniaUPC" w:cs="DilleniaUPC" w:hint="cs"/>
          <w:sz w:val="30"/>
          <w:szCs w:val="30"/>
          <w:cs/>
        </w:rPr>
        <w:t>7</w:t>
      </w:r>
      <w:r w:rsidR="00D677F0" w:rsidRPr="00F73177">
        <w:rPr>
          <w:rFonts w:ascii="DilleniaUPC" w:hAnsi="DilleniaUPC" w:cs="DilleniaUPC"/>
          <w:sz w:val="30"/>
          <w:szCs w:val="30"/>
          <w:cs/>
        </w:rPr>
        <w:t xml:space="preserve"> เป็นต้นไป</w:t>
      </w:r>
    </w:p>
    <w:p w:rsidR="00D677F0" w:rsidRPr="00766160" w:rsidRDefault="00D677F0" w:rsidP="00D677F0">
      <w:pPr>
        <w:tabs>
          <w:tab w:val="left" w:pos="1080"/>
        </w:tabs>
        <w:jc w:val="thaiDistribute"/>
        <w:rPr>
          <w:rFonts w:ascii="DilleniaUPC" w:hAnsi="DilleniaUPC" w:cs="DilleniaUPC"/>
          <w:sz w:val="22"/>
          <w:szCs w:val="22"/>
        </w:rPr>
      </w:pPr>
    </w:p>
    <w:p w:rsidR="00D677F0" w:rsidRPr="00F73177" w:rsidRDefault="00D677F0" w:rsidP="00D677F0">
      <w:pPr>
        <w:pStyle w:val="BodyText"/>
        <w:tabs>
          <w:tab w:val="left" w:pos="567"/>
          <w:tab w:val="center" w:pos="5812"/>
        </w:tabs>
        <w:spacing w:after="0"/>
        <w:ind w:right="-653"/>
        <w:rPr>
          <w:rFonts w:ascii="DilleniaUPC" w:hAnsi="DilleniaUPC" w:cs="DilleniaUPC"/>
          <w:sz w:val="30"/>
          <w:szCs w:val="30"/>
        </w:rPr>
      </w:pPr>
      <w:r w:rsidRPr="00F73177">
        <w:rPr>
          <w:rFonts w:ascii="DilleniaUPC" w:hAnsi="DilleniaUPC" w:cs="DilleniaUPC"/>
          <w:sz w:val="30"/>
          <w:szCs w:val="30"/>
          <w:cs/>
        </w:rPr>
        <w:tab/>
      </w:r>
      <w:r w:rsidRPr="00F73177">
        <w:rPr>
          <w:rFonts w:ascii="DilleniaUPC" w:hAnsi="DilleniaUPC" w:cs="DilleniaUPC"/>
          <w:sz w:val="30"/>
          <w:szCs w:val="30"/>
          <w:cs/>
        </w:rPr>
        <w:tab/>
        <w:t xml:space="preserve">ประกาศ ณ วันที่ </w:t>
      </w:r>
      <w:r w:rsidR="008158C7">
        <w:rPr>
          <w:rFonts w:ascii="DilleniaUPC" w:hAnsi="DilleniaUPC" w:cs="DilleniaUPC" w:hint="cs"/>
          <w:sz w:val="30"/>
          <w:szCs w:val="30"/>
          <w:cs/>
        </w:rPr>
        <w:t>28 กุมภาพันธ์</w:t>
      </w:r>
      <w:r w:rsidRPr="00F73177">
        <w:rPr>
          <w:rFonts w:ascii="DilleniaUPC" w:hAnsi="DilleniaUPC" w:cs="DilleniaUPC"/>
          <w:sz w:val="30"/>
          <w:szCs w:val="30"/>
          <w:cs/>
        </w:rPr>
        <w:t xml:space="preserve"> 255</w:t>
      </w:r>
      <w:r w:rsidR="00CC3FE1">
        <w:rPr>
          <w:rFonts w:ascii="DilleniaUPC" w:hAnsi="DilleniaUPC" w:cs="DilleniaUPC" w:hint="cs"/>
          <w:sz w:val="30"/>
          <w:szCs w:val="30"/>
          <w:cs/>
        </w:rPr>
        <w:t>7</w:t>
      </w:r>
    </w:p>
    <w:p w:rsidR="00D677F0" w:rsidRPr="00121745" w:rsidRDefault="00D677F0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40"/>
          <w:szCs w:val="40"/>
        </w:rPr>
      </w:pPr>
      <w:r w:rsidRPr="00F73177">
        <w:rPr>
          <w:rFonts w:ascii="DilleniaUPC" w:hAnsi="DilleniaUPC" w:cs="DilleniaUPC"/>
          <w:sz w:val="30"/>
          <w:szCs w:val="30"/>
          <w:cs/>
        </w:rPr>
        <w:tab/>
      </w:r>
      <w:r w:rsidRPr="00F73177">
        <w:rPr>
          <w:rFonts w:ascii="DilleniaUPC" w:hAnsi="DilleniaUPC" w:cs="DilleniaUPC"/>
          <w:sz w:val="30"/>
          <w:szCs w:val="30"/>
          <w:cs/>
        </w:rPr>
        <w:tab/>
      </w:r>
    </w:p>
    <w:p w:rsidR="00D677F0" w:rsidRPr="00766160" w:rsidRDefault="00D677F0" w:rsidP="00D677F0">
      <w:pPr>
        <w:pStyle w:val="BodyText"/>
        <w:tabs>
          <w:tab w:val="left" w:pos="567"/>
          <w:tab w:val="center" w:pos="5400"/>
        </w:tabs>
        <w:spacing w:after="0"/>
        <w:rPr>
          <w:rFonts w:ascii="DilleniaUPC" w:eastAsia="MS Mincho" w:hAnsi="DilleniaUPC" w:cs="DilleniaUPC"/>
          <w:sz w:val="40"/>
          <w:szCs w:val="40"/>
          <w:lang w:eastAsia="ja-JP"/>
        </w:rPr>
      </w:pPr>
    </w:p>
    <w:p w:rsidR="00D677F0" w:rsidRPr="00F73177" w:rsidRDefault="00D677F0" w:rsidP="00D677F0">
      <w:pPr>
        <w:tabs>
          <w:tab w:val="center" w:pos="5812"/>
        </w:tabs>
        <w:jc w:val="both"/>
        <w:rPr>
          <w:rFonts w:ascii="DilleniaUPC" w:hAnsi="DilleniaUPC" w:cs="DilleniaUPC"/>
          <w:sz w:val="30"/>
          <w:szCs w:val="30"/>
        </w:rPr>
      </w:pPr>
      <w:r w:rsidRPr="00F73177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:rsidR="0011539E" w:rsidRPr="00F73177" w:rsidRDefault="00D677F0" w:rsidP="000D7027">
      <w:pPr>
        <w:rPr>
          <w:rFonts w:ascii="DilleniaUPC" w:hAnsi="DilleniaUPC" w:cs="DilleniaUPC" w:hint="cs"/>
          <w:sz w:val="30"/>
          <w:szCs w:val="30"/>
          <w:cs/>
        </w:rPr>
      </w:pPr>
      <w:r w:rsidRPr="00F73177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F73177">
        <w:rPr>
          <w:rFonts w:ascii="DilleniaUPC" w:hAnsi="DilleniaUPC" w:cs="DilleniaUPC"/>
          <w:sz w:val="30"/>
          <w:szCs w:val="30"/>
          <w:cs/>
        </w:rPr>
        <w:tab/>
      </w:r>
      <w:r w:rsidRPr="00F73177">
        <w:rPr>
          <w:rFonts w:ascii="DilleniaUPC" w:hAnsi="DilleniaUPC" w:cs="DilleniaUPC"/>
          <w:sz w:val="30"/>
          <w:szCs w:val="30"/>
          <w:cs/>
        </w:rPr>
        <w:tab/>
      </w:r>
      <w:r w:rsidR="000D7027">
        <w:rPr>
          <w:rFonts w:ascii="DilleniaUPC" w:hAnsi="DilleniaUPC" w:cs="DilleniaUPC" w:hint="cs"/>
          <w:sz w:val="30"/>
          <w:szCs w:val="30"/>
          <w:cs/>
        </w:rPr>
        <w:tab/>
      </w:r>
      <w:r w:rsidR="000D7027">
        <w:rPr>
          <w:rFonts w:ascii="DilleniaUPC" w:hAnsi="DilleniaUPC" w:cs="DilleniaUPC" w:hint="cs"/>
          <w:sz w:val="30"/>
          <w:szCs w:val="30"/>
          <w:cs/>
        </w:rPr>
        <w:tab/>
      </w:r>
      <w:r w:rsidR="000D7027">
        <w:rPr>
          <w:rFonts w:ascii="DilleniaUPC" w:hAnsi="DilleniaUPC" w:cs="DilleniaUPC" w:hint="cs"/>
          <w:sz w:val="30"/>
          <w:szCs w:val="30"/>
          <w:cs/>
        </w:rPr>
        <w:tab/>
      </w:r>
      <w:r w:rsidR="000D7027">
        <w:rPr>
          <w:rFonts w:ascii="DilleniaUPC" w:hAnsi="DilleniaUPC" w:cs="DilleniaUPC" w:hint="cs"/>
          <w:sz w:val="30"/>
          <w:szCs w:val="30"/>
          <w:cs/>
        </w:rPr>
        <w:tab/>
      </w:r>
      <w:r w:rsidR="000D7027">
        <w:rPr>
          <w:rFonts w:ascii="DilleniaUPC" w:hAnsi="DilleniaUPC" w:cs="DilleniaUPC" w:hint="cs"/>
          <w:sz w:val="30"/>
          <w:szCs w:val="30"/>
          <w:cs/>
        </w:rPr>
        <w:tab/>
        <w:t xml:space="preserve">     </w:t>
      </w:r>
      <w:r w:rsidRPr="00F7317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sectPr w:rsidR="0011539E" w:rsidRPr="00F73177" w:rsidSect="00766160">
      <w:footerReference w:type="default" r:id="rId10"/>
      <w:pgSz w:w="11906" w:h="16838"/>
      <w:pgMar w:top="1134" w:right="1800" w:bottom="1276" w:left="180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DB" w:rsidRDefault="00FF57DB" w:rsidP="00A87D06">
      <w:r>
        <w:separator/>
      </w:r>
    </w:p>
  </w:endnote>
  <w:endnote w:type="continuationSeparator" w:id="0">
    <w:p w:rsidR="00FF57DB" w:rsidRDefault="00FF57DB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8A" w:rsidRDefault="00E67182" w:rsidP="0047748A">
    <w:pPr>
      <w:pStyle w:val="Footer"/>
      <w:ind w:right="-483"/>
      <w:jc w:val="right"/>
    </w:pPr>
    <w:r>
      <w:rPr>
        <w:rFonts w:ascii="BrowalliaUPC" w:hAnsi="BrowalliaUPC" w:cs="BrowalliaUPC" w:hint="cs"/>
        <w:b/>
        <w:bCs/>
        <w:sz w:val="20"/>
        <w:szCs w:val="20"/>
        <w:cs/>
      </w:rPr>
      <w:t>ห</w:t>
    </w:r>
    <w:r w:rsidR="00A43FEC">
      <w:rPr>
        <w:rFonts w:ascii="BrowalliaUPC" w:hAnsi="BrowalliaUPC" w:cs="BrowalliaUPC" w:hint="cs"/>
        <w:b/>
        <w:bCs/>
        <w:sz w:val="20"/>
        <w:szCs w:val="20"/>
        <w:cs/>
      </w:rPr>
      <w:t>ลักเกณฑ์</w:t>
    </w:r>
    <w:r>
      <w:rPr>
        <w:rFonts w:ascii="BrowalliaUPC" w:hAnsi="BrowalliaUPC" w:cs="BrowalliaUPC" w:hint="cs"/>
        <w:b/>
        <w:bCs/>
        <w:sz w:val="20"/>
        <w:szCs w:val="20"/>
        <w:cs/>
      </w:rPr>
      <w:t xml:space="preserve"> และเงื่อนไข</w:t>
    </w:r>
    <w:r w:rsidR="00E87C51" w:rsidRPr="00E87C51">
      <w:rPr>
        <w:rFonts w:ascii="BrowalliaUPC" w:hAnsi="BrowalliaUPC" w:cs="BrowalliaUPC" w:hint="cs"/>
        <w:b/>
        <w:bCs/>
        <w:sz w:val="20"/>
        <w:szCs w:val="20"/>
        <w:cs/>
      </w:rPr>
      <w:t>การ</w:t>
    </w:r>
    <w:r>
      <w:rPr>
        <w:rFonts w:ascii="BrowalliaUPC" w:hAnsi="BrowalliaUPC" w:cs="BrowalliaUPC" w:hint="cs"/>
        <w:b/>
        <w:bCs/>
        <w:sz w:val="20"/>
        <w:szCs w:val="20"/>
        <w:cs/>
      </w:rPr>
      <w:t>จ่ายผลตอบแทน</w:t>
    </w:r>
    <w:r w:rsidR="00884D8B">
      <w:rPr>
        <w:rFonts w:ascii="BrowalliaUPC" w:hAnsi="BrowalliaUPC" w:cs="BrowalliaUPC" w:hint="cs"/>
        <w:b/>
        <w:bCs/>
        <w:sz w:val="20"/>
        <w:szCs w:val="20"/>
        <w:cs/>
      </w:rPr>
      <w:t>ผู้</w:t>
    </w:r>
    <w:r>
      <w:rPr>
        <w:rFonts w:ascii="BrowalliaUPC" w:hAnsi="BrowalliaUPC" w:cs="BrowalliaUPC" w:hint="cs"/>
        <w:b/>
        <w:bCs/>
        <w:sz w:val="20"/>
        <w:szCs w:val="20"/>
        <w:cs/>
      </w:rPr>
      <w:t>แนะนำลูกค้า</w:t>
    </w:r>
    <w:r w:rsidR="0047748A" w:rsidRPr="0047748A">
      <w:rPr>
        <w:rFonts w:ascii="BrowalliaUPC" w:hAnsi="BrowalliaUPC" w:cs="BrowalliaUPC"/>
        <w:sz w:val="20"/>
        <w:szCs w:val="20"/>
      </w:rPr>
      <w:t xml:space="preserve"> </w:t>
    </w:r>
    <w:r w:rsidR="0047748A"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="0047748A"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="0047748A"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F75C4C">
      <w:rPr>
        <w:rFonts w:ascii="BrowalliaUPC" w:hAnsi="BrowalliaUPC" w:cs="BrowalliaUPC"/>
        <w:b/>
        <w:bCs/>
        <w:noProof/>
        <w:sz w:val="20"/>
        <w:szCs w:val="20"/>
      </w:rPr>
      <w:t>1</w:t>
    </w:r>
    <w:r w:rsidR="0047748A"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="0047748A" w:rsidRPr="0047748A">
      <w:rPr>
        <w:rFonts w:ascii="BrowalliaUPC" w:hAnsi="BrowalliaUPC" w:cs="BrowalliaUPC"/>
        <w:sz w:val="20"/>
        <w:szCs w:val="20"/>
      </w:rPr>
      <w:t xml:space="preserve"> / </w:t>
    </w:r>
    <w:r w:rsidR="0047748A"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="0047748A"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="0047748A"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F75C4C">
      <w:rPr>
        <w:rFonts w:ascii="BrowalliaUPC" w:hAnsi="BrowalliaUPC" w:cs="BrowalliaUPC"/>
        <w:b/>
        <w:bCs/>
        <w:noProof/>
        <w:sz w:val="20"/>
        <w:szCs w:val="20"/>
      </w:rPr>
      <w:t>2</w:t>
    </w:r>
    <w:r w:rsidR="0047748A"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:rsidR="0047748A" w:rsidRPr="00884D8B" w:rsidRDefault="0047748A" w:rsidP="0047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DB" w:rsidRDefault="00FF57DB" w:rsidP="00A87D06">
      <w:r>
        <w:separator/>
      </w:r>
    </w:p>
  </w:footnote>
  <w:footnote w:type="continuationSeparator" w:id="0">
    <w:p w:rsidR="00FF57DB" w:rsidRDefault="00FF57DB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F11"/>
    <w:multiLevelType w:val="hybridMultilevel"/>
    <w:tmpl w:val="5F5CC942"/>
    <w:lvl w:ilvl="0" w:tplc="73A04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3190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926A55"/>
    <w:multiLevelType w:val="hybridMultilevel"/>
    <w:tmpl w:val="41E2ECF6"/>
    <w:lvl w:ilvl="0" w:tplc="225A3C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463002"/>
    <w:multiLevelType w:val="hybridMultilevel"/>
    <w:tmpl w:val="84AC504E"/>
    <w:lvl w:ilvl="0" w:tplc="DB106D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3594C"/>
    <w:rsid w:val="000360C2"/>
    <w:rsid w:val="000363B8"/>
    <w:rsid w:val="00060532"/>
    <w:rsid w:val="000D7027"/>
    <w:rsid w:val="000F78FE"/>
    <w:rsid w:val="00101C43"/>
    <w:rsid w:val="0011539E"/>
    <w:rsid w:val="00121745"/>
    <w:rsid w:val="00125CBF"/>
    <w:rsid w:val="001669FB"/>
    <w:rsid w:val="0017238C"/>
    <w:rsid w:val="00177202"/>
    <w:rsid w:val="001B7E14"/>
    <w:rsid w:val="001C19A0"/>
    <w:rsid w:val="001D0BFB"/>
    <w:rsid w:val="001E0341"/>
    <w:rsid w:val="00236194"/>
    <w:rsid w:val="00257A6F"/>
    <w:rsid w:val="002659D4"/>
    <w:rsid w:val="00294EEF"/>
    <w:rsid w:val="002C53C3"/>
    <w:rsid w:val="002D3CE3"/>
    <w:rsid w:val="002F1ADB"/>
    <w:rsid w:val="002F1FB1"/>
    <w:rsid w:val="00303E7D"/>
    <w:rsid w:val="003062A1"/>
    <w:rsid w:val="00317693"/>
    <w:rsid w:val="003303AE"/>
    <w:rsid w:val="003337CB"/>
    <w:rsid w:val="00356B61"/>
    <w:rsid w:val="0036186E"/>
    <w:rsid w:val="00366D91"/>
    <w:rsid w:val="00386C64"/>
    <w:rsid w:val="003935FA"/>
    <w:rsid w:val="003C5BEC"/>
    <w:rsid w:val="00420AAC"/>
    <w:rsid w:val="00426157"/>
    <w:rsid w:val="004306CB"/>
    <w:rsid w:val="0044640B"/>
    <w:rsid w:val="0044658A"/>
    <w:rsid w:val="0046755F"/>
    <w:rsid w:val="0047748A"/>
    <w:rsid w:val="00480766"/>
    <w:rsid w:val="004846CB"/>
    <w:rsid w:val="00493EB2"/>
    <w:rsid w:val="004A02D5"/>
    <w:rsid w:val="004B4D53"/>
    <w:rsid w:val="004D4BAF"/>
    <w:rsid w:val="004F6C07"/>
    <w:rsid w:val="005175CD"/>
    <w:rsid w:val="00546830"/>
    <w:rsid w:val="00550282"/>
    <w:rsid w:val="00574649"/>
    <w:rsid w:val="00581080"/>
    <w:rsid w:val="005953A8"/>
    <w:rsid w:val="00607C48"/>
    <w:rsid w:val="006133AF"/>
    <w:rsid w:val="0062208B"/>
    <w:rsid w:val="006327FC"/>
    <w:rsid w:val="00636D5B"/>
    <w:rsid w:val="00643429"/>
    <w:rsid w:val="00647061"/>
    <w:rsid w:val="006661F1"/>
    <w:rsid w:val="0068507E"/>
    <w:rsid w:val="006913EB"/>
    <w:rsid w:val="006A42E3"/>
    <w:rsid w:val="006A504E"/>
    <w:rsid w:val="006A69E2"/>
    <w:rsid w:val="006B203F"/>
    <w:rsid w:val="006C762D"/>
    <w:rsid w:val="006D7555"/>
    <w:rsid w:val="006F7B9B"/>
    <w:rsid w:val="0071174C"/>
    <w:rsid w:val="007126D9"/>
    <w:rsid w:val="00712F66"/>
    <w:rsid w:val="00714269"/>
    <w:rsid w:val="007556C5"/>
    <w:rsid w:val="00762395"/>
    <w:rsid w:val="00765461"/>
    <w:rsid w:val="00766160"/>
    <w:rsid w:val="00773979"/>
    <w:rsid w:val="00780B66"/>
    <w:rsid w:val="00793850"/>
    <w:rsid w:val="007A4100"/>
    <w:rsid w:val="007A5B52"/>
    <w:rsid w:val="007A6FF1"/>
    <w:rsid w:val="008067C7"/>
    <w:rsid w:val="0080750D"/>
    <w:rsid w:val="008158C7"/>
    <w:rsid w:val="008353E3"/>
    <w:rsid w:val="0083624C"/>
    <w:rsid w:val="0083654A"/>
    <w:rsid w:val="00837146"/>
    <w:rsid w:val="008466AD"/>
    <w:rsid w:val="0087205E"/>
    <w:rsid w:val="00884D8B"/>
    <w:rsid w:val="008908A1"/>
    <w:rsid w:val="008B2081"/>
    <w:rsid w:val="008D56A1"/>
    <w:rsid w:val="00930409"/>
    <w:rsid w:val="00935813"/>
    <w:rsid w:val="00956915"/>
    <w:rsid w:val="00957E5E"/>
    <w:rsid w:val="00971E21"/>
    <w:rsid w:val="00975947"/>
    <w:rsid w:val="009B2ABE"/>
    <w:rsid w:val="009E1D93"/>
    <w:rsid w:val="009F6832"/>
    <w:rsid w:val="009F696D"/>
    <w:rsid w:val="00A10FF9"/>
    <w:rsid w:val="00A12389"/>
    <w:rsid w:val="00A35B5E"/>
    <w:rsid w:val="00A43FEC"/>
    <w:rsid w:val="00A83267"/>
    <w:rsid w:val="00A85CA3"/>
    <w:rsid w:val="00A87D06"/>
    <w:rsid w:val="00AB083F"/>
    <w:rsid w:val="00AB7845"/>
    <w:rsid w:val="00AD493C"/>
    <w:rsid w:val="00AD611E"/>
    <w:rsid w:val="00AD774A"/>
    <w:rsid w:val="00AE7138"/>
    <w:rsid w:val="00B02C2F"/>
    <w:rsid w:val="00B277B2"/>
    <w:rsid w:val="00B603F4"/>
    <w:rsid w:val="00B75A2D"/>
    <w:rsid w:val="00B956D4"/>
    <w:rsid w:val="00BB110F"/>
    <w:rsid w:val="00BB6ECB"/>
    <w:rsid w:val="00BD42F3"/>
    <w:rsid w:val="00C02447"/>
    <w:rsid w:val="00C506EA"/>
    <w:rsid w:val="00C55CC1"/>
    <w:rsid w:val="00C647CA"/>
    <w:rsid w:val="00C90BC4"/>
    <w:rsid w:val="00CA2355"/>
    <w:rsid w:val="00CB3D0A"/>
    <w:rsid w:val="00CC3FE1"/>
    <w:rsid w:val="00CD36A9"/>
    <w:rsid w:val="00CF2F5C"/>
    <w:rsid w:val="00D16D5E"/>
    <w:rsid w:val="00D16DA1"/>
    <w:rsid w:val="00D34581"/>
    <w:rsid w:val="00D677F0"/>
    <w:rsid w:val="00D763F9"/>
    <w:rsid w:val="00D766CF"/>
    <w:rsid w:val="00DB1BBB"/>
    <w:rsid w:val="00DD06CF"/>
    <w:rsid w:val="00DD2632"/>
    <w:rsid w:val="00DF1922"/>
    <w:rsid w:val="00DF5AE6"/>
    <w:rsid w:val="00E20ED9"/>
    <w:rsid w:val="00E21D1A"/>
    <w:rsid w:val="00E2440E"/>
    <w:rsid w:val="00E3774C"/>
    <w:rsid w:val="00E45724"/>
    <w:rsid w:val="00E65B2E"/>
    <w:rsid w:val="00E67182"/>
    <w:rsid w:val="00E87C51"/>
    <w:rsid w:val="00E97368"/>
    <w:rsid w:val="00EC18C4"/>
    <w:rsid w:val="00EF7CDE"/>
    <w:rsid w:val="00F20EAE"/>
    <w:rsid w:val="00F50732"/>
    <w:rsid w:val="00F72021"/>
    <w:rsid w:val="00F73177"/>
    <w:rsid w:val="00F75C4C"/>
    <w:rsid w:val="00F830B3"/>
    <w:rsid w:val="00FA3D4B"/>
    <w:rsid w:val="00FE393B"/>
    <w:rsid w:val="00FF55B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NoSpacing">
    <w:name w:val="No Spacing"/>
    <w:uiPriority w:val="1"/>
    <w:qFormat/>
    <w:rsid w:val="00CC3FE1"/>
    <w:rPr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NoSpacing">
    <w:name w:val="No Spacing"/>
    <w:uiPriority w:val="1"/>
    <w:qFormat/>
    <w:rsid w:val="00CC3FE1"/>
    <w:rPr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9FD6-7E91-4A24-84A9-C23EEEDE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user3</cp:lastModifiedBy>
  <cp:revision>2</cp:revision>
  <cp:lastPrinted>2014-02-28T03:35:00Z</cp:lastPrinted>
  <dcterms:created xsi:type="dcterms:W3CDTF">2015-05-12T09:55:00Z</dcterms:created>
  <dcterms:modified xsi:type="dcterms:W3CDTF">2015-05-12T09:55:00Z</dcterms:modified>
</cp:coreProperties>
</file>