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7D" w:rsidRDefault="00303E7D" w:rsidP="00FE393B">
      <w:pPr>
        <w:ind w:right="-766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:rsidR="00630072" w:rsidRDefault="00630072" w:rsidP="00630072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EF457A">
        <w:rPr>
          <w:rFonts w:ascii="DilleniaUPC" w:hAnsi="DilleniaUPC" w:cs="DilleniaUPC"/>
          <w:b/>
          <w:bCs/>
          <w:sz w:val="36"/>
          <w:szCs w:val="36"/>
          <w:cs/>
        </w:rPr>
        <w:t xml:space="preserve">- </w:t>
      </w:r>
      <w:r w:rsidRPr="00630072">
        <w:rPr>
          <w:rFonts w:ascii="DilleniaUPC" w:hAnsi="DilleniaUPC" w:cs="DilleniaUPC" w:hint="cs"/>
          <w:sz w:val="36"/>
          <w:szCs w:val="36"/>
          <w:cs/>
        </w:rPr>
        <w:t>ฉบับประมวล</w:t>
      </w:r>
      <w:r w:rsidRPr="00EF457A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</w:t>
      </w:r>
      <w:r w:rsidRPr="00EF457A">
        <w:rPr>
          <w:rFonts w:ascii="DilleniaUPC" w:hAnsi="DilleniaUPC" w:cs="DilleniaUPC"/>
          <w:b/>
          <w:bCs/>
          <w:sz w:val="36"/>
          <w:szCs w:val="36"/>
          <w:cs/>
        </w:rPr>
        <w:t>-</w:t>
      </w:r>
    </w:p>
    <w:p w:rsidR="00630072" w:rsidRPr="00630072" w:rsidRDefault="00630072" w:rsidP="00630072">
      <w:pPr>
        <w:ind w:right="-64"/>
        <w:jc w:val="center"/>
        <w:rPr>
          <w:rFonts w:ascii="DilleniaUPC" w:hAnsi="DilleniaUPC" w:cs="DilleniaUPC"/>
          <w:b/>
          <w:bCs/>
          <w:szCs w:val="24"/>
        </w:rPr>
      </w:pPr>
    </w:p>
    <w:p w:rsidR="00923183" w:rsidRPr="0081184D" w:rsidRDefault="00923183" w:rsidP="00923183">
      <w:pPr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81184D">
        <w:rPr>
          <w:rFonts w:ascii="DilleniaUPC" w:hAnsi="DilleniaUPC" w:cs="DilleniaUPC"/>
          <w:b/>
          <w:bCs/>
          <w:sz w:val="36"/>
          <w:szCs w:val="36"/>
          <w:cs/>
        </w:rPr>
        <w:t>แนวทางการปฏิบัติงาน</w:t>
      </w:r>
    </w:p>
    <w:p w:rsidR="00923183" w:rsidRPr="0081184D" w:rsidRDefault="00923183" w:rsidP="00923183">
      <w:pPr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81184D">
        <w:rPr>
          <w:rFonts w:ascii="DilleniaUPC" w:hAnsi="DilleniaUPC" w:cs="DilleniaUPC"/>
          <w:b/>
          <w:bCs/>
          <w:sz w:val="36"/>
          <w:szCs w:val="36"/>
          <w:cs/>
        </w:rPr>
        <w:t>เรื่อง การพิจารณากำหนดวงเงินซื้อขายหลักทรัพย์ของลูกค้า</w:t>
      </w:r>
    </w:p>
    <w:p w:rsidR="00B956D4" w:rsidRPr="0081184D" w:rsidRDefault="00B956D4" w:rsidP="00923183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:rsidR="00923183" w:rsidRPr="0081184D" w:rsidRDefault="00923183" w:rsidP="0012614A">
      <w:pPr>
        <w:spacing w:before="160"/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hAnsi="DilleniaUPC" w:cs="DilleniaUPC"/>
          <w:sz w:val="30"/>
          <w:szCs w:val="30"/>
          <w:cs/>
        </w:rPr>
        <w:t xml:space="preserve">เพื่อเป็นการกำหนดมาตรฐานการปฏิบัติงานของสมาชิกในการพิจารณากำหนดวงเงินซื้อขายหลักทรัพย์ของลูกค้ารายย่อยให้เป็นไปอย่างเหมาะสมและมีประสิทธิภาพ </w:t>
      </w:r>
    </w:p>
    <w:p w:rsidR="00923183" w:rsidRPr="0081184D" w:rsidRDefault="009D08C0" w:rsidP="00923183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7C22C3">
        <w:rPr>
          <w:rFonts w:hint="cs"/>
          <w:color w:val="auto"/>
          <w:sz w:val="30"/>
          <w:szCs w:val="30"/>
          <w:cs/>
        </w:rPr>
        <w:t>โดย</w:t>
      </w:r>
      <w:r w:rsidR="002F7957" w:rsidRPr="007C22C3">
        <w:rPr>
          <w:rFonts w:hint="cs"/>
          <w:color w:val="auto"/>
          <w:sz w:val="30"/>
          <w:szCs w:val="30"/>
          <w:cs/>
        </w:rPr>
        <w:t>อาศัยอำนาจตาม</w:t>
      </w:r>
      <w:r w:rsidR="00923183" w:rsidRPr="0081184D">
        <w:rPr>
          <w:color w:val="auto"/>
          <w:sz w:val="30"/>
          <w:szCs w:val="30"/>
          <w:cs/>
        </w:rPr>
        <w:t xml:space="preserve">ประกาศคณะกรรมการกำกับตลาดทุน ที่ ทธ. </w:t>
      </w:r>
      <w:r w:rsidR="00923183" w:rsidRPr="0081184D">
        <w:rPr>
          <w:color w:val="auto"/>
          <w:sz w:val="30"/>
          <w:szCs w:val="30"/>
        </w:rPr>
        <w:t>35</w:t>
      </w:r>
      <w:r w:rsidR="00923183" w:rsidRPr="0081184D">
        <w:rPr>
          <w:color w:val="auto"/>
          <w:sz w:val="30"/>
          <w:szCs w:val="30"/>
          <w:cs/>
        </w:rPr>
        <w:t>/</w:t>
      </w:r>
      <w:r w:rsidR="00923183" w:rsidRPr="0081184D">
        <w:rPr>
          <w:color w:val="auto"/>
          <w:sz w:val="30"/>
          <w:szCs w:val="30"/>
        </w:rPr>
        <w:t xml:space="preserve">2556 </w:t>
      </w:r>
      <w:r w:rsidR="00923183" w:rsidRPr="0081184D">
        <w:rPr>
          <w:color w:val="auto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</w:t>
      </w:r>
      <w:r w:rsidR="00D6679A" w:rsidRPr="0081184D">
        <w:rPr>
          <w:rFonts w:hint="cs"/>
          <w:color w:val="auto"/>
          <w:sz w:val="30"/>
          <w:szCs w:val="30"/>
          <w:cs/>
        </w:rPr>
        <w:t>และการให้บริ</w:t>
      </w:r>
      <w:r w:rsidR="00B84B18">
        <w:rPr>
          <w:rFonts w:hint="cs"/>
          <w:color w:val="auto"/>
          <w:sz w:val="30"/>
          <w:szCs w:val="30"/>
          <w:cs/>
        </w:rPr>
        <w:t>การของผู้ประกอบธุรกิจหลักทรัพย์</w:t>
      </w:r>
      <w:r w:rsidR="00D6679A">
        <w:rPr>
          <w:rFonts w:hint="cs"/>
          <w:color w:val="auto"/>
          <w:sz w:val="30"/>
          <w:szCs w:val="30"/>
          <w:cs/>
        </w:rPr>
        <w:t>และ</w:t>
      </w:r>
      <w:r w:rsidR="00A47AB8">
        <w:rPr>
          <w:rFonts w:hint="cs"/>
          <w:color w:val="auto"/>
          <w:sz w:val="30"/>
          <w:szCs w:val="30"/>
          <w:cs/>
        </w:rPr>
        <w:t>ผู้ประกอบ</w:t>
      </w:r>
      <w:r w:rsidR="00D6679A">
        <w:rPr>
          <w:rFonts w:hint="cs"/>
          <w:color w:val="auto"/>
          <w:sz w:val="30"/>
          <w:szCs w:val="30"/>
          <w:cs/>
        </w:rPr>
        <w:t xml:space="preserve">ธุรกิจสัญญาซื้อขายล่วงหน้า </w:t>
      </w:r>
      <w:r w:rsidR="00D6679A" w:rsidRPr="007C22C3">
        <w:rPr>
          <w:rFonts w:hint="cs"/>
          <w:color w:val="auto"/>
          <w:sz w:val="30"/>
          <w:szCs w:val="30"/>
          <w:cs/>
        </w:rPr>
        <w:t>ข้อ</w:t>
      </w:r>
      <w:r w:rsidR="00CD7B79" w:rsidRPr="007C22C3">
        <w:rPr>
          <w:rFonts w:hint="cs"/>
          <w:color w:val="auto"/>
          <w:sz w:val="30"/>
          <w:szCs w:val="30"/>
          <w:cs/>
        </w:rPr>
        <w:t xml:space="preserve"> </w:t>
      </w:r>
      <w:r w:rsidR="00CD7B79" w:rsidRPr="007C22C3">
        <w:rPr>
          <w:color w:val="auto"/>
          <w:sz w:val="30"/>
          <w:szCs w:val="30"/>
        </w:rPr>
        <w:t>9</w:t>
      </w:r>
      <w:r w:rsidR="00923183" w:rsidRPr="007C22C3">
        <w:rPr>
          <w:color w:val="auto"/>
          <w:sz w:val="30"/>
          <w:szCs w:val="30"/>
          <w:cs/>
        </w:rPr>
        <w:t xml:space="preserve"> </w:t>
      </w:r>
      <w:r w:rsidRPr="007C22C3">
        <w:rPr>
          <w:color w:val="auto"/>
          <w:sz w:val="30"/>
          <w:szCs w:val="30"/>
          <w:cs/>
        </w:rPr>
        <w:t>โดยความเห็นชอบ</w:t>
      </w:r>
      <w:r w:rsidRPr="007C22C3">
        <w:rPr>
          <w:rFonts w:hint="cs"/>
          <w:color w:val="auto"/>
          <w:sz w:val="30"/>
          <w:szCs w:val="30"/>
          <w:cs/>
        </w:rPr>
        <w:t>จากสำนักงานคณะกรรมการกำกับหลักทรัพย์และตลาดหลักทรัพย์</w:t>
      </w:r>
      <w:r w:rsidR="00923183" w:rsidRPr="007C22C3">
        <w:rPr>
          <w:color w:val="auto"/>
          <w:sz w:val="30"/>
          <w:szCs w:val="30"/>
          <w:cs/>
        </w:rPr>
        <w:t xml:space="preserve"> สมาคมบริษัทหลักทรัพย์ไทย </w:t>
      </w:r>
      <w:r w:rsidR="00986891">
        <w:rPr>
          <w:rFonts w:hint="cs"/>
          <w:color w:val="auto"/>
          <w:sz w:val="30"/>
          <w:szCs w:val="30"/>
          <w:cs/>
        </w:rPr>
        <w:t>ด้วย</w:t>
      </w:r>
      <w:r w:rsidRPr="007C22C3">
        <w:rPr>
          <w:rFonts w:hint="cs"/>
          <w:color w:val="auto"/>
          <w:sz w:val="30"/>
          <w:szCs w:val="30"/>
          <w:cs/>
        </w:rPr>
        <w:t>ความร่วมมือของ</w:t>
      </w:r>
      <w:r w:rsidR="00923183" w:rsidRPr="0081184D">
        <w:rPr>
          <w:color w:val="auto"/>
          <w:sz w:val="30"/>
          <w:szCs w:val="30"/>
          <w:cs/>
        </w:rPr>
        <w:t xml:space="preserve">ชมรมผู้ดูแลการปฏิบัติงานด้านหลักทรัพย์ และชมรมปฏิบัติการหลักทรัพย์ จึงกำหนดแนวทางการปฏิบัติงาน เรื่อง การพิจารณากำหนดวงเงินซื้อขายหลักทรัพย์ของลูกค้า เพื่อให้สมาชิกสมาคมถือปฏิบัติ ดังนี้ </w:t>
      </w:r>
    </w:p>
    <w:p w:rsidR="00923183" w:rsidRDefault="005571B8" w:rsidP="0012614A">
      <w:pPr>
        <w:pStyle w:val="Default"/>
        <w:spacing w:before="160"/>
        <w:ind w:firstLine="720"/>
        <w:jc w:val="thaiDistribute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>ข้อ 1</w:t>
      </w:r>
      <w:r w:rsidR="00E94235" w:rsidRPr="0081184D">
        <w:rPr>
          <w:color w:val="auto"/>
          <w:sz w:val="30"/>
          <w:szCs w:val="30"/>
          <w:cs/>
        </w:rPr>
        <w:t>.</w:t>
      </w:r>
      <w:r>
        <w:rPr>
          <w:color w:val="auto"/>
          <w:sz w:val="30"/>
          <w:szCs w:val="30"/>
          <w:cs/>
        </w:rPr>
        <w:t xml:space="preserve"> </w:t>
      </w:r>
      <w:r w:rsidR="00E94235" w:rsidRPr="0081184D">
        <w:rPr>
          <w:color w:val="auto"/>
          <w:sz w:val="30"/>
          <w:szCs w:val="30"/>
          <w:cs/>
        </w:rPr>
        <w:t>ให้ยกเลิกแนวทางปฏิบัติ</w:t>
      </w:r>
      <w:r w:rsidR="0081184D" w:rsidRPr="0081184D">
        <w:rPr>
          <w:color w:val="auto"/>
          <w:sz w:val="30"/>
          <w:szCs w:val="30"/>
          <w:cs/>
        </w:rPr>
        <w:t>งานของบริษัทหลักทรัพย์ในการพิจารณากำหนดวงเงินซื้อขายหลักทรัพย์ของลูกค้ารายย่อย</w:t>
      </w:r>
      <w:r w:rsidR="00361FA6">
        <w:rPr>
          <w:rFonts w:hint="cs"/>
          <w:color w:val="auto"/>
          <w:sz w:val="30"/>
          <w:szCs w:val="30"/>
          <w:cs/>
        </w:rPr>
        <w:t xml:space="preserve">  </w:t>
      </w:r>
      <w:r w:rsidR="00E94235" w:rsidRPr="0081184D">
        <w:rPr>
          <w:color w:val="auto"/>
          <w:sz w:val="30"/>
          <w:szCs w:val="30"/>
          <w:cs/>
        </w:rPr>
        <w:t>ลงวันที่</w:t>
      </w:r>
      <w:r w:rsidR="0081184D" w:rsidRPr="0081184D">
        <w:rPr>
          <w:color w:val="auto"/>
          <w:sz w:val="30"/>
          <w:szCs w:val="30"/>
          <w:cs/>
        </w:rPr>
        <w:t xml:space="preserve"> 15 มกราคม 2550</w:t>
      </w:r>
    </w:p>
    <w:p w:rsidR="00923183" w:rsidRPr="0081184D" w:rsidRDefault="005571B8" w:rsidP="0012614A">
      <w:pPr>
        <w:pStyle w:val="Default"/>
        <w:spacing w:before="160"/>
        <w:ind w:firstLine="720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 xml:space="preserve">ข้อ </w:t>
      </w:r>
      <w:r w:rsidR="00923183" w:rsidRPr="0081184D">
        <w:rPr>
          <w:color w:val="auto"/>
          <w:sz w:val="30"/>
          <w:szCs w:val="30"/>
          <w:cs/>
        </w:rPr>
        <w:t>2.</w:t>
      </w:r>
      <w:r>
        <w:rPr>
          <w:rFonts w:hint="cs"/>
          <w:color w:val="auto"/>
          <w:sz w:val="30"/>
          <w:szCs w:val="30"/>
          <w:cs/>
        </w:rPr>
        <w:t xml:space="preserve"> </w:t>
      </w:r>
      <w:r w:rsidR="00923183" w:rsidRPr="0081184D">
        <w:rPr>
          <w:color w:val="auto"/>
          <w:sz w:val="30"/>
          <w:szCs w:val="30"/>
          <w:cs/>
        </w:rPr>
        <w:t xml:space="preserve">ในแนวทางการปฏิบัติงานนี้ </w:t>
      </w:r>
    </w:p>
    <w:p w:rsidR="00923183" w:rsidRPr="0081184D" w:rsidRDefault="00923183" w:rsidP="00F873B0">
      <w:pPr>
        <w:pStyle w:val="Default"/>
        <w:ind w:firstLine="720"/>
        <w:rPr>
          <w:color w:val="auto"/>
          <w:sz w:val="30"/>
          <w:szCs w:val="30"/>
        </w:rPr>
      </w:pPr>
      <w:r w:rsidRPr="0081184D">
        <w:rPr>
          <w:color w:val="auto"/>
          <w:sz w:val="30"/>
          <w:szCs w:val="30"/>
          <w:cs/>
        </w:rPr>
        <w:t xml:space="preserve">“สมาคม” หมายความว่า สมาคมบริษัทหลักทรัพย์ไทย </w:t>
      </w:r>
    </w:p>
    <w:p w:rsidR="00923183" w:rsidRPr="0081184D" w:rsidRDefault="00923183" w:rsidP="00F873B0">
      <w:pPr>
        <w:pStyle w:val="Default"/>
        <w:ind w:firstLine="720"/>
        <w:rPr>
          <w:color w:val="auto"/>
          <w:sz w:val="30"/>
          <w:szCs w:val="30"/>
        </w:rPr>
      </w:pPr>
      <w:r w:rsidRPr="0081184D">
        <w:rPr>
          <w:color w:val="auto"/>
          <w:sz w:val="30"/>
          <w:szCs w:val="30"/>
          <w:cs/>
        </w:rPr>
        <w:t xml:space="preserve">“สมาชิก” หมายความว่า สมาชิกสมาคมบริษัทหลักทรัพย์ไทย </w:t>
      </w:r>
    </w:p>
    <w:p w:rsidR="00923183" w:rsidRPr="0081184D" w:rsidRDefault="00923183" w:rsidP="00F873B0">
      <w:pPr>
        <w:pStyle w:val="Default"/>
        <w:ind w:firstLine="720"/>
        <w:rPr>
          <w:color w:val="auto"/>
          <w:sz w:val="30"/>
          <w:szCs w:val="30"/>
        </w:rPr>
      </w:pPr>
      <w:r w:rsidRPr="0081184D">
        <w:rPr>
          <w:color w:val="auto"/>
          <w:sz w:val="30"/>
          <w:szCs w:val="30"/>
          <w:cs/>
        </w:rPr>
        <w:t xml:space="preserve">“ลูกค้า” หมายความว่า ลูกค้ารายย่อยที่ไม่ใช่ลูกค้าสถาบัน </w:t>
      </w:r>
    </w:p>
    <w:p w:rsidR="00923183" w:rsidRPr="0081184D" w:rsidRDefault="00F873B0" w:rsidP="00F873B0">
      <w:pPr>
        <w:pStyle w:val="Default"/>
        <w:jc w:val="thaiDistribute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ab/>
      </w:r>
      <w:r w:rsidR="00923183" w:rsidRPr="0081184D">
        <w:rPr>
          <w:color w:val="auto"/>
          <w:sz w:val="30"/>
          <w:szCs w:val="30"/>
          <w:cs/>
        </w:rPr>
        <w:t xml:space="preserve">นอกเหนือจากคำที่บัญญัติไว้ข้างต้น ให้คำที่ปรากฏในแนวทางการปฏิบัติงานฉบับนี้มีความหมายเป็นไปตามนิยามที่กำหนดไว้ในประกาศคณะกรรมการกำกับตลาดทุน ที่ ทธ. </w:t>
      </w:r>
      <w:r w:rsidR="00923183" w:rsidRPr="0081184D">
        <w:rPr>
          <w:color w:val="auto"/>
          <w:sz w:val="30"/>
          <w:szCs w:val="30"/>
        </w:rPr>
        <w:t>35</w:t>
      </w:r>
      <w:r w:rsidR="00923183" w:rsidRPr="0081184D">
        <w:rPr>
          <w:color w:val="auto"/>
          <w:sz w:val="30"/>
          <w:szCs w:val="30"/>
          <w:cs/>
        </w:rPr>
        <w:t>/</w:t>
      </w:r>
      <w:r w:rsidR="00923183" w:rsidRPr="0081184D">
        <w:rPr>
          <w:color w:val="auto"/>
          <w:sz w:val="30"/>
          <w:szCs w:val="30"/>
        </w:rPr>
        <w:t xml:space="preserve">2556 </w:t>
      </w:r>
      <w:r w:rsidR="00923183" w:rsidRPr="0081184D">
        <w:rPr>
          <w:color w:val="auto"/>
          <w:sz w:val="30"/>
          <w:szCs w:val="30"/>
          <w:cs/>
        </w:rPr>
        <w:t>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และการให้บริการของผู้ประกอบธุรกิจหลักทรัพย์และ</w:t>
      </w:r>
      <w:r w:rsidR="00A47AB8">
        <w:rPr>
          <w:rFonts w:hint="cs"/>
          <w:color w:val="auto"/>
          <w:sz w:val="30"/>
          <w:szCs w:val="30"/>
          <w:cs/>
        </w:rPr>
        <w:t>ผู้ประกอบ</w:t>
      </w:r>
      <w:r w:rsidR="00923183" w:rsidRPr="0081184D">
        <w:rPr>
          <w:color w:val="auto"/>
          <w:sz w:val="30"/>
          <w:szCs w:val="30"/>
          <w:cs/>
        </w:rPr>
        <w:t xml:space="preserve">ธุรกิจสัญญาซื้อขายล่วงหน้า </w:t>
      </w:r>
    </w:p>
    <w:p w:rsidR="00FB4308" w:rsidRDefault="005571B8" w:rsidP="0012614A">
      <w:pPr>
        <w:spacing w:before="160"/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5571B8">
        <w:rPr>
          <w:rFonts w:ascii="DilleniaUPC" w:eastAsia="Cordia New" w:hAnsi="DilleniaUPC" w:cs="DilleniaUPC" w:hint="cs"/>
          <w:sz w:val="30"/>
          <w:szCs w:val="30"/>
          <w:cs/>
        </w:rPr>
        <w:t>ข้อ</w:t>
      </w:r>
      <w:r w:rsidRPr="005571B8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="00923183" w:rsidRPr="00FB4308">
        <w:rPr>
          <w:rFonts w:ascii="DilleniaUPC" w:eastAsia="Cordia New" w:hAnsi="DilleniaUPC" w:cs="DilleniaUPC"/>
          <w:sz w:val="30"/>
          <w:szCs w:val="30"/>
          <w:cs/>
        </w:rPr>
        <w:t xml:space="preserve">3. </w:t>
      </w:r>
      <w:r w:rsidR="00FB4308" w:rsidRPr="00FB4308">
        <w:rPr>
          <w:rFonts w:ascii="DilleniaUPC" w:hAnsi="DilleniaUPC" w:cs="DilleniaUPC"/>
          <w:sz w:val="30"/>
          <w:szCs w:val="30"/>
          <w:cs/>
        </w:rPr>
        <w:t>สมาชิกควรกำหนดระเบียบวิธีปฏิบัติในการพิจารณากำหนดวงเงินซื้อขายหลักทรัพย์ให้แก่ลูกค้าที่เป็น</w:t>
      </w:r>
      <w:r w:rsidR="001E75B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B4308" w:rsidRPr="00FB4308">
        <w:rPr>
          <w:rFonts w:ascii="DilleniaUPC" w:hAnsi="DilleniaUPC" w:cs="DilleniaUPC"/>
          <w:sz w:val="30"/>
          <w:szCs w:val="30"/>
          <w:cs/>
        </w:rPr>
        <w:t>ลายลักษณ์อักษรและได้รับความเห็นชอบจากคณะกรรมการบริษัทหรือคณะกรรมการอื่นที่ได้รับมอบหมายจากคณะกรรมการบริษัท โดยระเบียบวิธีปฏิบัติดังกล่าวควรครอบคลุมอย่างน้อยในเรื่อง</w:t>
      </w:r>
      <w:r w:rsidR="00FB4308">
        <w:rPr>
          <w:rFonts w:ascii="DilleniaUPC" w:hAnsi="DilleniaUPC" w:cs="DilleniaUPC" w:hint="cs"/>
          <w:sz w:val="30"/>
          <w:szCs w:val="30"/>
          <w:cs/>
        </w:rPr>
        <w:t>ต่างๆตามแนวทางการปฏิบัติงาน</w:t>
      </w:r>
      <w:r w:rsidR="00FB4308" w:rsidRPr="00FB4308">
        <w:rPr>
          <w:rFonts w:ascii="DilleniaUPC" w:hAnsi="DilleniaUPC" w:cs="DilleniaUPC"/>
          <w:sz w:val="30"/>
          <w:szCs w:val="30"/>
          <w:cs/>
        </w:rPr>
        <w:t>นี้</w:t>
      </w:r>
    </w:p>
    <w:p w:rsidR="00923183" w:rsidRPr="00FB4308" w:rsidRDefault="005571B8" w:rsidP="0012614A">
      <w:pPr>
        <w:spacing w:before="160" w:line="360" w:lineRule="exact"/>
        <w:ind w:firstLine="720"/>
        <w:rPr>
          <w:rFonts w:ascii="DilleniaUPC" w:eastAsia="Cordia New" w:hAnsi="DilleniaUPC" w:cs="DilleniaUPC"/>
          <w:sz w:val="30"/>
          <w:szCs w:val="30"/>
        </w:rPr>
      </w:pPr>
      <w:r w:rsidRPr="005571B8">
        <w:rPr>
          <w:rFonts w:ascii="DilleniaUPC" w:eastAsia="Cordia New" w:hAnsi="DilleniaUPC" w:cs="DilleniaUPC" w:hint="cs"/>
          <w:sz w:val="30"/>
          <w:szCs w:val="30"/>
          <w:cs/>
        </w:rPr>
        <w:t>ข้อ</w:t>
      </w:r>
      <w:r w:rsidRPr="005571B8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>
        <w:rPr>
          <w:rFonts w:ascii="DilleniaUPC" w:eastAsia="Cordia New" w:hAnsi="DilleniaUPC" w:cs="DilleniaUPC" w:hint="cs"/>
          <w:sz w:val="30"/>
          <w:szCs w:val="30"/>
          <w:cs/>
        </w:rPr>
        <w:t>4</w:t>
      </w:r>
      <w:r w:rsidR="00FB4308" w:rsidRPr="00FB4308">
        <w:rPr>
          <w:rFonts w:ascii="DilleniaUPC" w:eastAsia="Cordia New" w:hAnsi="DilleniaUPC" w:cs="DilleniaUPC"/>
          <w:sz w:val="30"/>
          <w:szCs w:val="30"/>
          <w:cs/>
        </w:rPr>
        <w:t xml:space="preserve">. </w:t>
      </w:r>
      <w:r w:rsidR="00923183" w:rsidRPr="00FB4308">
        <w:rPr>
          <w:rFonts w:ascii="DilleniaUPC" w:eastAsia="Cordia New" w:hAnsi="DilleniaUPC" w:cs="DilleniaUPC"/>
          <w:sz w:val="30"/>
          <w:szCs w:val="30"/>
          <w:cs/>
        </w:rPr>
        <w:t>การกำหนดวงเงินซื้อขายหลักทรัพย์ของลูกค้า</w:t>
      </w:r>
    </w:p>
    <w:p w:rsidR="00923183" w:rsidRPr="0081184D" w:rsidRDefault="00923183" w:rsidP="0024206C">
      <w:pPr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ordia New" w:hAnsi="DilleniaUPC" w:cs="DilleniaUPC"/>
          <w:sz w:val="30"/>
          <w:szCs w:val="30"/>
          <w:cs/>
        </w:rPr>
        <w:t>โดยที่การกำหนดวงเงินซื้อขายหลักทรัพย์ของลูกค้าเป็นการกำหนดอำนาจซื้อของลูกค้าซึ่งจะมีผลกระทบต่อความเสี่ยงของสมาชิกหากลูกค้าผิดนัดชำระหนี้หรือส่งมอบหลักทรัพย์ล่าช้า ดังนั้น สมาชิกควรมีการกำหนดวงเงินของลูกค้าต่อราย</w:t>
      </w:r>
      <w:r w:rsidR="00DB1F37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>เทียบเคียงกับขนาดของเงินกองทุนของสมาชิกอย่างเหมาะสม เพื่อมิให้เกิดการกระจุกตัวในการให้วงเงินแก่ลูกค้ารายใดรายหนึ่งมากเกินไป รวมทั้งเพื่อมิให้สมาชิกให้วงเงินลูกค้าสูงเกินฐานะของบริษัท อันอาจจะส่งผลกระทบต่อเสถียรภาพของระบบชำระราคาและส่งมอบหลักทรัพย์โดยรวม</w:t>
      </w:r>
    </w:p>
    <w:p w:rsidR="00923183" w:rsidRPr="0081184D" w:rsidRDefault="00923183" w:rsidP="0024206C">
      <w:pPr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ordia New" w:hAnsi="DilleniaUPC" w:cs="DilleniaUPC"/>
          <w:sz w:val="30"/>
          <w:szCs w:val="30"/>
          <w:cs/>
        </w:rPr>
        <w:lastRenderedPageBreak/>
        <w:t>นอกจากการกำหนดขนาดวงเงินซื้อขายหลักทรัพย์ที่เหมาะสมกับบริษัทแล้ว สมาชิกควรกำหนดวงเงินให้เหมาะสมกับลูกค้า โดยพิจารณาความสามารถในการชำระหนี้ การรู้จักลูกค้าและตรวจสอบเพื่อทราบข้อเท็จจริงเกี่ยวกับลูกค้า</w:t>
      </w:r>
      <w:r w:rsidR="00DB1F37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>(</w:t>
      </w:r>
      <w:r w:rsidRPr="0081184D">
        <w:rPr>
          <w:rFonts w:ascii="DilleniaUPC" w:eastAsia="Cordia New" w:hAnsi="DilleniaUPC" w:cs="DilleniaUPC"/>
          <w:sz w:val="30"/>
          <w:szCs w:val="30"/>
        </w:rPr>
        <w:t>KYC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>/</w:t>
      </w:r>
      <w:r w:rsidRPr="0081184D">
        <w:rPr>
          <w:rFonts w:ascii="DilleniaUPC" w:eastAsia="Cordia New" w:hAnsi="DilleniaUPC" w:cs="DilleniaUPC"/>
          <w:sz w:val="30"/>
          <w:szCs w:val="30"/>
        </w:rPr>
        <w:t>CDD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 xml:space="preserve">) ตามระเบียบของสมาชิก </w:t>
      </w:r>
      <w:r w:rsidR="00F51A24">
        <w:rPr>
          <w:rFonts w:ascii="DilleniaUPC" w:eastAsia="Cordia New" w:hAnsi="DilleniaUPC" w:cs="DilleniaUPC" w:hint="cs"/>
          <w:sz w:val="30"/>
          <w:szCs w:val="30"/>
          <w:cs/>
        </w:rPr>
        <w:t>ซึ่งเป็นไป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>ตามหลักเกณฑ์ดังต่อไปนี้</w:t>
      </w:r>
    </w:p>
    <w:p w:rsidR="00923183" w:rsidRPr="0081184D" w:rsidRDefault="00FB4308" w:rsidP="00F873B0">
      <w:pPr>
        <w:spacing w:line="360" w:lineRule="exact"/>
        <w:ind w:left="414" w:firstLine="720"/>
        <w:jc w:val="both"/>
        <w:rPr>
          <w:rFonts w:ascii="DilleniaUPC" w:eastAsia="Cordia New" w:hAnsi="DilleniaUPC" w:cs="DilleniaUPC"/>
          <w:sz w:val="30"/>
          <w:szCs w:val="30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>4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.1 กรณีลูกค้าบุคคลธรรมดา</w:t>
      </w:r>
    </w:p>
    <w:p w:rsidR="00923183" w:rsidRPr="0081184D" w:rsidRDefault="00F873B0" w:rsidP="00F873B0">
      <w:pPr>
        <w:spacing w:line="360" w:lineRule="exact"/>
        <w:ind w:firstLine="1134"/>
        <w:jc w:val="thaiDistribute"/>
        <w:rPr>
          <w:rFonts w:ascii="DilleniaUPC" w:eastAsia="Cordia New" w:hAnsi="DilleniaUPC" w:cs="DilleniaUPC"/>
          <w:sz w:val="30"/>
          <w:szCs w:val="30"/>
          <w:cs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สมาชิกควรวิเคราะห์ความสามารถในการชำระหนี้ของลูกค้าด้วยความรอบคอบรัดกุม โดยตรวจสอบความมั่นคง สมํ่าเสมอ และความสมเหตุสมผลของฐานะการเงิน แหล่งที่มาของรายได้จากอาชีพหรือธุรกิจหลัก และ</w:t>
      </w:r>
      <w:r w:rsidR="009C119C" w:rsidRPr="0081184D">
        <w:rPr>
          <w:rFonts w:ascii="DilleniaUPC" w:eastAsia="Cordia New" w:hAnsi="DilleniaUPC" w:cs="DilleniaUPC"/>
          <w:sz w:val="30"/>
          <w:szCs w:val="30"/>
          <w:cs/>
        </w:rPr>
        <w:t>ทรัพย์สิน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ที่ลูกค้านำมาแสดงต่อสมาชิก รวมทั้งเอกสารที่ประกอบการพิจารณาควรมาจากแหล่งที่เชื่อถือได้ เช่น</w:t>
      </w:r>
    </w:p>
    <w:p w:rsidR="00923183" w:rsidRPr="00A07D33" w:rsidRDefault="00F873B0" w:rsidP="001D31C4">
      <w:pPr>
        <w:tabs>
          <w:tab w:val="left" w:pos="1418"/>
          <w:tab w:val="left" w:pos="1701"/>
        </w:tabs>
        <w:spacing w:line="360" w:lineRule="exact"/>
        <w:ind w:firstLine="1134"/>
        <w:jc w:val="thaiDistribute"/>
        <w:rPr>
          <w:rFonts w:ascii="DilleniaUPC" w:eastAsia="Cordia New" w:hAnsi="DilleniaUPC" w:cs="DilleniaUPC"/>
          <w:sz w:val="30"/>
          <w:szCs w:val="30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1D31C4">
        <w:rPr>
          <w:rFonts w:ascii="DilleniaUPC" w:eastAsia="Cordia New" w:hAnsi="DilleniaUPC" w:cs="DilleniaUPC"/>
          <w:sz w:val="30"/>
          <w:szCs w:val="30"/>
          <w:cs/>
        </w:rPr>
        <w:t>(1)</w:t>
      </w:r>
      <w:r w:rsidR="001D31C4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 xml:space="preserve">เอกสารแสดงรายการทรัพย์สินที่ลูกค้านำมาแสดงต่อสมาชิก ควรเป็นเอกสารที่แสดงถึงทรัพย์สินที่มีสภาพคล่องและปลอดจากภาระผูกพันและเพียงพอต่อการพิจารณากำหนดวงเงิน และความสมเหตุสมผลของการเป็นผู้มีกรรมสิทธิ์ในทรัพย์สิน เช่น บัญชีเงินฝากธนาคารเฉลี่ยย้อนหลังอย่างน้อย 3 เดือน พันธบัตร </w:t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 xml:space="preserve">บัตรเงินฝาก ตั๋วแลกเงินที่สถาบันการเงินเป็นผู้ออก หุ้นกู้ หลักทรัพย์จดทะเบียน หน่วยลงทุน เป็นต้น โดยวงเงินที่ลูกค้าได้รับไม่ควรเกิน 3 เท่าของมูลค่าเฉลี่ยรวมของทรัพย์สินที่นำมาแสดงดังกล่าว   </w:t>
      </w:r>
    </w:p>
    <w:p w:rsidR="00923183" w:rsidRPr="00A07D33" w:rsidRDefault="0081184D" w:rsidP="0081184D">
      <w:pPr>
        <w:tabs>
          <w:tab w:val="left" w:pos="1134"/>
        </w:tabs>
        <w:spacing w:line="360" w:lineRule="exact"/>
        <w:ind w:firstLine="81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A07D33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F873B0" w:rsidRPr="00A07D33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>ในกรณีที่เอกสารแสดงรายการ</w:t>
      </w:r>
      <w:r w:rsidR="009C119C" w:rsidRPr="00A07D33">
        <w:rPr>
          <w:rFonts w:ascii="DilleniaUPC" w:eastAsia="Cordia New" w:hAnsi="DilleniaUPC" w:cs="DilleniaUPC"/>
          <w:sz w:val="30"/>
          <w:szCs w:val="30"/>
          <w:cs/>
        </w:rPr>
        <w:t>ทรัพย์สิน</w:t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>ที่ลูกค้านำมาแสดงระบุถึง</w:t>
      </w:r>
      <w:r w:rsidR="009C119C" w:rsidRPr="00A07D33">
        <w:rPr>
          <w:rFonts w:ascii="DilleniaUPC" w:eastAsia="Cordia New" w:hAnsi="DilleniaUPC" w:cs="DilleniaUPC"/>
          <w:sz w:val="30"/>
          <w:szCs w:val="30"/>
          <w:cs/>
        </w:rPr>
        <w:t>ทรัพย์สิน</w:t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 xml:space="preserve">ที่เป็นหลักทรัพย์ที่ลูกค้ามีไว้กับสมาชิกอื่น หลักทรัพย์นั้นควรเป็นหลักทรัพย์ที่ปลอดจากภาระผูกพัน และปรากฏข้อมูลเพียงพอที่จะแสดงให้เห็นความเคลื่อนไหวของหลักทรัพย์ในบัญชี เช่น </w:t>
      </w:r>
    </w:p>
    <w:p w:rsidR="00923183" w:rsidRPr="00A07D33" w:rsidRDefault="00923183" w:rsidP="00F873B0">
      <w:pPr>
        <w:pStyle w:val="ListParagraph"/>
        <w:numPr>
          <w:ilvl w:val="0"/>
          <w:numId w:val="5"/>
        </w:numPr>
        <w:spacing w:after="0" w:line="360" w:lineRule="exact"/>
        <w:ind w:left="1701" w:firstLine="14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A07D33">
        <w:rPr>
          <w:rFonts w:ascii="DilleniaUPC" w:eastAsia="Cordia New" w:hAnsi="DilleniaUPC" w:cs="DilleniaUPC"/>
          <w:sz w:val="30"/>
          <w:szCs w:val="30"/>
          <w:cs/>
        </w:rPr>
        <w:t>รายงานการเคลื่อนไหวของหลักทรัพย์ (</w:t>
      </w:r>
      <w:r w:rsidRPr="00A07D33">
        <w:rPr>
          <w:rFonts w:ascii="DilleniaUPC" w:eastAsia="Cordia New" w:hAnsi="DilleniaUPC" w:cs="DilleniaUPC"/>
          <w:sz w:val="30"/>
          <w:szCs w:val="30"/>
        </w:rPr>
        <w:t>movement</w:t>
      </w:r>
      <w:r w:rsidRPr="00A07D33">
        <w:rPr>
          <w:rFonts w:ascii="DilleniaUPC" w:eastAsia="Cordia New" w:hAnsi="DilleniaUPC" w:cs="DilleniaUPC"/>
          <w:sz w:val="30"/>
          <w:szCs w:val="30"/>
          <w:cs/>
        </w:rPr>
        <w:t xml:space="preserve">) </w:t>
      </w:r>
    </w:p>
    <w:p w:rsidR="00923183" w:rsidRPr="00A07D33" w:rsidRDefault="00923183" w:rsidP="00F873B0">
      <w:pPr>
        <w:pStyle w:val="ListParagraph"/>
        <w:numPr>
          <w:ilvl w:val="0"/>
          <w:numId w:val="5"/>
        </w:numPr>
        <w:spacing w:after="0" w:line="360" w:lineRule="exact"/>
        <w:ind w:left="1701" w:firstLine="142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A07D33">
        <w:rPr>
          <w:rFonts w:ascii="DilleniaUPC" w:eastAsia="Cordia New" w:hAnsi="DilleniaUPC" w:cs="DilleniaUPC"/>
          <w:sz w:val="30"/>
          <w:szCs w:val="30"/>
          <w:cs/>
        </w:rPr>
        <w:t xml:space="preserve">การซื้อขายหรือยอดหลักทรัพย์คงเหลือรายเดือนย้อนหลังมากกว่า </w:t>
      </w:r>
      <w:r w:rsidRPr="00A07D33">
        <w:rPr>
          <w:rFonts w:ascii="DilleniaUPC" w:eastAsia="Cordia New" w:hAnsi="DilleniaUPC" w:cs="DilleniaUPC"/>
          <w:sz w:val="30"/>
          <w:szCs w:val="30"/>
        </w:rPr>
        <w:t xml:space="preserve">1 </w:t>
      </w:r>
      <w:r w:rsidRPr="00A07D33">
        <w:rPr>
          <w:rFonts w:ascii="DilleniaUPC" w:eastAsia="Cordia New" w:hAnsi="DilleniaUPC" w:cs="DilleniaUPC"/>
          <w:sz w:val="30"/>
          <w:szCs w:val="30"/>
          <w:cs/>
        </w:rPr>
        <w:t>เดือน</w:t>
      </w:r>
    </w:p>
    <w:p w:rsidR="00923183" w:rsidRPr="00A07D33" w:rsidRDefault="00923183" w:rsidP="005858A4">
      <w:pPr>
        <w:tabs>
          <w:tab w:val="left" w:pos="1134"/>
        </w:tabs>
        <w:spacing w:line="360" w:lineRule="exact"/>
        <w:ind w:left="810"/>
        <w:jc w:val="thaiDistribute"/>
        <w:rPr>
          <w:rFonts w:ascii="DilleniaUPC" w:eastAsia="Cordia New" w:hAnsi="DilleniaUPC" w:cs="DilleniaUPC"/>
          <w:sz w:val="30"/>
          <w:szCs w:val="30"/>
        </w:rPr>
      </w:pPr>
      <w:r w:rsidRPr="00A07D33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="005858A4" w:rsidRPr="00A07D33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F873B0" w:rsidRPr="00A07D33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Pr="00A07D33">
        <w:rPr>
          <w:rFonts w:ascii="DilleniaUPC" w:eastAsia="Cordia New" w:hAnsi="DilleniaUPC" w:cs="DilleniaUPC"/>
          <w:sz w:val="30"/>
          <w:szCs w:val="30"/>
          <w:cs/>
        </w:rPr>
        <w:t xml:space="preserve">โดยวงเงินที่ลูกค้าได้รับไม่ควรเกิน </w:t>
      </w:r>
      <w:r w:rsidRPr="00A07D33">
        <w:rPr>
          <w:rFonts w:ascii="DilleniaUPC" w:eastAsia="Cordia New" w:hAnsi="DilleniaUPC" w:cs="DilleniaUPC"/>
          <w:sz w:val="30"/>
          <w:szCs w:val="30"/>
        </w:rPr>
        <w:t xml:space="preserve">1 </w:t>
      </w:r>
      <w:r w:rsidRPr="00A07D33">
        <w:rPr>
          <w:rFonts w:ascii="DilleniaUPC" w:eastAsia="Cordia New" w:hAnsi="DilleniaUPC" w:cs="DilleniaUPC"/>
          <w:sz w:val="30"/>
          <w:szCs w:val="30"/>
          <w:cs/>
        </w:rPr>
        <w:t xml:space="preserve">เท่าของมูลค่าเฉลี่ยของทรัพย์สินที่อยู่กับสมาชิกอื่นที่นำมาแสดง </w:t>
      </w:r>
    </w:p>
    <w:p w:rsidR="00923183" w:rsidRPr="0081184D" w:rsidRDefault="00F873B0" w:rsidP="00F873B0">
      <w:pPr>
        <w:spacing w:line="360" w:lineRule="exact"/>
        <w:ind w:firstLine="1134"/>
        <w:jc w:val="thaiDistribute"/>
        <w:rPr>
          <w:rFonts w:ascii="DilleniaUPC" w:eastAsia="Calibri" w:hAnsi="DilleniaUPC" w:cs="DilleniaUPC"/>
          <w:b/>
          <w:bCs/>
          <w:sz w:val="30"/>
          <w:szCs w:val="30"/>
        </w:rPr>
      </w:pPr>
      <w:r w:rsidRPr="00A07D33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A07D33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>อย่างไรก็ตามสมาชิกอาจนำยอด</w:t>
      </w:r>
      <w:r w:rsidR="009C119C" w:rsidRPr="00A07D33">
        <w:rPr>
          <w:rFonts w:ascii="DilleniaUPC" w:eastAsia="Cordia New" w:hAnsi="DilleniaUPC" w:cs="DilleniaUPC"/>
          <w:sz w:val="30"/>
          <w:szCs w:val="30"/>
          <w:cs/>
        </w:rPr>
        <w:t>ทรัพย์สิน</w:t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>คงเหลือล่าสุด หรือยอด</w:t>
      </w:r>
      <w:r w:rsidR="009C119C" w:rsidRPr="00A07D33">
        <w:rPr>
          <w:rFonts w:ascii="DilleniaUPC" w:eastAsia="Cordia New" w:hAnsi="DilleniaUPC" w:cs="DilleniaUPC"/>
          <w:sz w:val="30"/>
          <w:szCs w:val="30"/>
          <w:cs/>
        </w:rPr>
        <w:t>ทรัพย์สิน</w:t>
      </w:r>
      <w:r w:rsidR="00923183" w:rsidRPr="00A07D33">
        <w:rPr>
          <w:rFonts w:ascii="DilleniaUPC" w:eastAsia="Cordia New" w:hAnsi="DilleniaUPC" w:cs="DilleniaUPC"/>
          <w:sz w:val="30"/>
          <w:szCs w:val="30"/>
          <w:cs/>
        </w:rPr>
        <w:t>สูงสุดที่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 xml:space="preserve">นำมาแสดงมาพิจารณาร่วมด้วยได้ โดยบริษัทสมาชิกควรพิจารณาเอกสารทางการเงินอย่างระมัดระวังและสมเหตุสมผล </w:t>
      </w:r>
    </w:p>
    <w:p w:rsidR="00923183" w:rsidRPr="0081184D" w:rsidRDefault="00F873B0" w:rsidP="005858A4">
      <w:pPr>
        <w:spacing w:line="360" w:lineRule="exact"/>
        <w:ind w:firstLine="1134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ทั้งนี้ การคำนวณมูลค่าเฉลี่ยของทรัพย์สิน อาจใช้การคำนวณแบบ </w:t>
      </w:r>
      <w:r w:rsidR="009B47FA">
        <w:rPr>
          <w:rFonts w:ascii="DilleniaUPC" w:eastAsia="Calibri" w:hAnsi="DilleniaUPC" w:cs="DilleniaUPC"/>
          <w:sz w:val="30"/>
          <w:szCs w:val="30"/>
        </w:rPr>
        <w:t xml:space="preserve">simple average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หรือ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 xml:space="preserve"> weighted average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ตามเวลา ตามความเหมาะสมกับปริมาณข้อมูลหรือลักษณะข้อมูลที่ได้รับจากลูกค้า</w:t>
      </w:r>
    </w:p>
    <w:p w:rsidR="00923183" w:rsidRPr="0081184D" w:rsidRDefault="00F873B0" w:rsidP="001D31C4">
      <w:pPr>
        <w:tabs>
          <w:tab w:val="left" w:pos="1418"/>
          <w:tab w:val="left" w:pos="1701"/>
        </w:tabs>
        <w:spacing w:line="360" w:lineRule="exact"/>
        <w:ind w:firstLine="1134"/>
        <w:jc w:val="thaiDistribute"/>
        <w:rPr>
          <w:rFonts w:ascii="DilleniaUPC" w:eastAsia="Cordia New" w:hAnsi="DilleniaUPC" w:cs="DilleniaUPC"/>
          <w:sz w:val="30"/>
          <w:szCs w:val="30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(2) หนังสือรับรองเงินเดือน หลักฐานแสดงแหล่งที่มาของรายได้หรือประวัติการเดินบัญชีธนาคาร โดยวงเงินที่ลูกค้าจะได้รับไม่ควรเกิน 12 เท่าของรายได้ประจำต่อเดือน ทั้งนี้ ในกรณีที่ลูกค้ามีรายได้ประจำจากการให้เช่าทรัพย์สิน (เช่น ที่ดิน</w:t>
      </w:r>
      <w:r w:rsidR="005858A4">
        <w:rPr>
          <w:rFonts w:ascii="DilleniaUPC" w:eastAsia="Cordia New" w:hAnsi="DilleniaUPC" w:cs="DilleniaUPC"/>
          <w:sz w:val="30"/>
          <w:szCs w:val="30"/>
          <w:cs/>
        </w:rPr>
        <w:t xml:space="preserve"> อาคาร รถยนต์) สมาชิกควรตรวจสอบ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 xml:space="preserve">รายได้และแหล่งที่มาของรายได้จากหลักฐานที่น่าเชื่อถือได้เป็นสำคัญ </w:t>
      </w:r>
    </w:p>
    <w:p w:rsidR="00923183" w:rsidRPr="0081184D" w:rsidRDefault="00F873B0" w:rsidP="0024206C">
      <w:pPr>
        <w:spacing w:line="360" w:lineRule="exact"/>
        <w:ind w:firstLine="1134"/>
        <w:jc w:val="thaiDistribute"/>
        <w:rPr>
          <w:rFonts w:ascii="DilleniaUPC" w:eastAsia="Cordia New" w:hAnsi="DilleniaUPC" w:cs="DilleniaUPC"/>
          <w:sz w:val="30"/>
          <w:szCs w:val="30"/>
          <w:u w:val="single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1D31C4"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(3) สำหรับลูกค้าที่เป็นเจ้าของกิจการ วงเงินที่ได้รับไม่ควรเกิน 1 เท่าของผลคูณระหว่างส่วนของผู้ถือหุ้นกับสัดส่วนการถือหุ้นของลูกค้าในกิจการดังกล่าว</w:t>
      </w:r>
    </w:p>
    <w:p w:rsidR="00923183" w:rsidRPr="0081184D" w:rsidRDefault="00FB4308" w:rsidP="00F873B0">
      <w:pPr>
        <w:spacing w:line="360" w:lineRule="exact"/>
        <w:ind w:firstLine="1134"/>
        <w:jc w:val="both"/>
        <w:rPr>
          <w:rFonts w:ascii="DilleniaUPC" w:eastAsia="Cordia New" w:hAnsi="DilleniaUPC" w:cs="DilleniaUPC"/>
          <w:sz w:val="30"/>
          <w:szCs w:val="30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>4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.2 กรณีลูกค้านิติบุคคล</w:t>
      </w:r>
    </w:p>
    <w:p w:rsidR="00923183" w:rsidRPr="0081184D" w:rsidRDefault="00F873B0" w:rsidP="0024206C">
      <w:pPr>
        <w:ind w:firstLine="1134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ordia New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สมาชิกควรพิจารณางบการเงินปีล่าสุดที่ผ่านการตรวจสอบแล้ว ซึ่งได้แก่ งบดุล งบกำไรขาดทุน และงบกระแสเงินสด (ถ้ามี) โดยวงเงินที่ลูกค้านิติบุคคลจะได้รับไม่ควรเกิน 1 เท่าของส่วนของผู้ถือหุ้นตามงบการเงินดังกล่าว</w:t>
      </w:r>
    </w:p>
    <w:p w:rsidR="00630072" w:rsidRPr="00CC23CB" w:rsidRDefault="00630072" w:rsidP="00630072">
      <w:pPr>
        <w:spacing w:before="160"/>
        <w:ind w:firstLine="1134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>4.3</w:t>
      </w:r>
      <w:r w:rsidR="008D3B34" w:rsidRPr="008D3B34">
        <w:rPr>
          <w:rStyle w:val="FootnoteReference"/>
          <w:rFonts w:ascii="DilleniaUPC" w:hAnsi="DilleniaUPC" w:cs="DilleniaUPC"/>
          <w:sz w:val="30"/>
          <w:szCs w:val="30"/>
          <w:cs/>
        </w:rPr>
        <w:footnoteReference w:id="1"/>
      </w:r>
      <w:r w:rsidRPr="008D3B34">
        <w:rPr>
          <w:rStyle w:val="FootnoteReference"/>
          <w:cs/>
        </w:rPr>
        <w:t xml:space="preserve"> </w:t>
      </w:r>
      <w:r w:rsidR="008D3B34">
        <w:rPr>
          <w:szCs w:val="24"/>
          <w:cs/>
        </w:rPr>
        <w:t xml:space="preserve"> </w:t>
      </w:r>
      <w:r w:rsidRPr="00CC23CB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กรณีบัญชี</w:t>
      </w:r>
      <w:r w:rsidRPr="00CC23CB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CC23CB">
        <w:rPr>
          <w:rFonts w:ascii="DilleniaUPC" w:hAnsi="DilleniaUPC" w:cs="DilleniaUPC"/>
          <w:color w:val="000000" w:themeColor="text1"/>
          <w:sz w:val="30"/>
          <w:szCs w:val="30"/>
        </w:rPr>
        <w:t xml:space="preserve">Cash Balance </w:t>
      </w:r>
    </w:p>
    <w:p w:rsidR="00630072" w:rsidRDefault="00630072" w:rsidP="00630072">
      <w:pPr>
        <w:ind w:firstLine="1418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ลูกค้าที่เปิดบัญชี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Cash Balance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ควรพิจารณาให้วงเงินในการซื้อขายไม่เกินเงินสดหรือเงินค่าขายหลักทรัพย์ที่วางเป็นหลักประกันในการชำระราค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ซึ่งในกรณีนี้บริษัทควรนำข้อมูลจากการทำการรู้จักลูกค้าและตรวจสอบเพื่อทราบข้อเท็จจริงเกี่ยวกับ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KYC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มาพิจารณากำหนดเกณฑ์จำนวนเงินรับโอนสำหรับลูกค้าแต่ละรายหรือแต่ละกลุ่ม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630072" w:rsidRDefault="00630072" w:rsidP="00630072">
      <w:pPr>
        <w:ind w:firstLine="1418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lastRenderedPageBreak/>
        <w:t>ในกรณีที่ลูกค้าไม่ได้แสดงเอกสารเกี่ยวกับฐานะการเงินของลูกค้า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เกณฑ์จำนวนเงินดังกล่าวไม่ควรเกิน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500,000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บาท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อย่างไรก็ตาม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หากสมาชิกมีกระบวนการหรือขั้นตอนในการพิจารณาปัจจัยเชิงคุณภาพด้านอื่นประกอบการพิจารณาเพิ่มเติม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อาทิ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อาชีพ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ตำแหน่งงาน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รายได้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แหล่งที่มาของรายได้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สถานที่ทำงาน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อายุ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เป็นต้น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โดยข้อมูลที่นำมาพิจารณามาจากแหล่งที่เชื่อถือได้และมีความสมเหตุสมผล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และพิจารณาจากข้อมูลหลายปัจจัยร่วมกัน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สมาชิกอาจพิจารณากำหนดเกณฑ์จำนวนเงินรับโอนเพิ่มได้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แต่ทั้งนี้เกณฑ์จำนวนเงินรับโอนภายหลังการพิจารณาปัจจัยเชิงคุณภาพเพิ่มเติม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ไม่ควรเกิน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1,000,000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บาท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630072" w:rsidRDefault="00630072" w:rsidP="00630072">
      <w:pPr>
        <w:ind w:firstLine="1418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ลูกค้ามีการโอนเงินเข้ามาหรือยอดเงินโอนสะสมสูงกว่าเกณฑ์จำนวนเงินนั้นบ่อยครั้งหรืออย่างมีนัยสำคัญ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ทางบริษัทจะต้องดำเนินการทบทวนการรู้จักลูกค้าและตรวจสอบเพื่อทราบข้อเท็จจริงเกี่ยวกับลูกค้า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KYC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รวมทั้งทบทวนฐานะการเงินของลูกค้า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พบว่าข้อมูลในการรู้จักลูกค้าและตรวจสอบเพื่อทราบข้อเท็จจริงเกี่ยวกับลูกค้าไม่เพียงพอเมื่อเทียบกับจำนวนเงินที่โอนเข้าม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ให้ดำเนินการกระบวนการรู้จักลูกค้าและตรวจสอบเพื่อทราบข้อเท็จจริงเกี่ยวกับลูกค้าเพิ่มเติม</w:t>
      </w:r>
    </w:p>
    <w:p w:rsidR="00630072" w:rsidRDefault="00630072" w:rsidP="00630072">
      <w:pPr>
        <w:ind w:firstLine="1418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การทบทวนฐานะการเงินของลูกค้าควรมีเอกสารหลักฐานสนับสนุนการทบทวนทำนองเดียวกับการพิจารณาความสามารถในการชำระหนี้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กรณีลูกค้าปัจจุบันของบริษัทอาจใช้ข้อมูลมูลค่าทรัพย์สินที่มีอยู่กับบริษัทสุทธิที่ปลอดภาระผูกพันเป็นแนวทางในการกำหนดเกณฑ์จำนวนเงิน</w:t>
      </w:r>
    </w:p>
    <w:p w:rsidR="00923183" w:rsidRPr="00630072" w:rsidRDefault="00630072" w:rsidP="00630072">
      <w:pPr>
        <w:ind w:firstLine="1418"/>
        <w:jc w:val="thaiDistribute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อนึ่ง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สมาชิกควรวิเคราะห์และกำหนดขนาดวงเงินซื้อขายหลักทรัพย์ของลูกค้าโดยพิจารณาถึงตัวตนของลูกค้า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พฤติกรรมที่อาจบ่งชี้ถึงการเป็น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Pr="00CC23CB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Nominee </w:t>
      </w:r>
      <w:r w:rsidRPr="00CC23CB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ของบุคคลอื่นด้วย</w:t>
      </w:r>
    </w:p>
    <w:p w:rsidR="00923183" w:rsidRPr="0081184D" w:rsidRDefault="005571B8" w:rsidP="0012614A">
      <w:pPr>
        <w:spacing w:before="160" w:line="360" w:lineRule="exact"/>
        <w:ind w:firstLine="720"/>
        <w:jc w:val="both"/>
        <w:rPr>
          <w:rFonts w:ascii="DilleniaUPC" w:eastAsia="Cordia New" w:hAnsi="DilleniaUPC" w:cs="DilleniaUPC"/>
          <w:sz w:val="30"/>
          <w:szCs w:val="30"/>
        </w:rPr>
      </w:pPr>
      <w:r w:rsidRPr="005571B8">
        <w:rPr>
          <w:rFonts w:ascii="DilleniaUPC" w:eastAsia="Cordia New" w:hAnsi="DilleniaUPC" w:cs="DilleniaUPC" w:hint="cs"/>
          <w:sz w:val="30"/>
          <w:szCs w:val="30"/>
          <w:cs/>
        </w:rPr>
        <w:t>ข้อ</w:t>
      </w:r>
      <w:r w:rsidRPr="005571B8">
        <w:rPr>
          <w:rFonts w:ascii="DilleniaUPC" w:eastAsia="Cordia New" w:hAnsi="DilleniaUPC" w:cs="DilleniaUPC"/>
          <w:sz w:val="30"/>
          <w:szCs w:val="30"/>
          <w:cs/>
        </w:rPr>
        <w:t xml:space="preserve"> </w:t>
      </w:r>
      <w:r w:rsidR="00FB4308">
        <w:rPr>
          <w:rFonts w:ascii="DilleniaUPC" w:eastAsia="Cordia New" w:hAnsi="DilleniaUPC" w:cs="DilleniaUPC" w:hint="cs"/>
          <w:sz w:val="30"/>
          <w:szCs w:val="30"/>
          <w:cs/>
        </w:rPr>
        <w:t>5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>.</w:t>
      </w:r>
      <w:r w:rsidR="005858A4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="00923183" w:rsidRPr="0081184D">
        <w:rPr>
          <w:rFonts w:ascii="DilleniaUPC" w:eastAsia="Cordia New" w:hAnsi="DilleniaUPC" w:cs="DilleniaUPC"/>
          <w:sz w:val="30"/>
          <w:szCs w:val="30"/>
          <w:cs/>
        </w:rPr>
        <w:t xml:space="preserve">ขั้นตอนการพิจารณาและผู้มีอำนาจในการอนุมัติวงเงิน </w:t>
      </w:r>
    </w:p>
    <w:p w:rsidR="00923183" w:rsidRPr="0081184D" w:rsidRDefault="00923183" w:rsidP="005858A4">
      <w:pPr>
        <w:spacing w:line="360" w:lineRule="exact"/>
        <w:ind w:firstLine="720"/>
        <w:jc w:val="thaiDistribute"/>
        <w:rPr>
          <w:rFonts w:ascii="DilleniaUPC" w:eastAsia="Calibri" w:hAnsi="DilleniaUPC" w:cs="DilleniaUPC"/>
          <w:b/>
          <w:bCs/>
          <w:sz w:val="30"/>
          <w:szCs w:val="30"/>
        </w:rPr>
      </w:pPr>
      <w:r w:rsidRPr="0081184D">
        <w:rPr>
          <w:rFonts w:ascii="DilleniaUPC" w:eastAsia="Cordia New" w:hAnsi="DilleniaUPC" w:cs="DilleniaUPC"/>
          <w:sz w:val="30"/>
          <w:szCs w:val="30"/>
          <w:cs/>
        </w:rPr>
        <w:t>โดยที่สมาชิกควรมีการพิจารณากำหนดวงเงินซื้อขายหลักทรัพย์ที่รัดกุมและรอบคอบเพียงพอ</w:t>
      </w:r>
      <w:r w:rsidR="00DB1F37">
        <w:rPr>
          <w:rFonts w:ascii="DilleniaUPC" w:eastAsia="Cordia New" w:hAnsi="DilleniaUPC" w:cs="DilleniaUPC" w:hint="cs"/>
          <w:sz w:val="30"/>
          <w:szCs w:val="30"/>
          <w:cs/>
        </w:rPr>
        <w:t xml:space="preserve"> </w:t>
      </w:r>
      <w:r w:rsidRPr="0081184D">
        <w:rPr>
          <w:rFonts w:ascii="DilleniaUPC" w:eastAsia="Cordia New" w:hAnsi="DilleniaUPC" w:cs="DilleniaUPC"/>
          <w:sz w:val="30"/>
          <w:szCs w:val="30"/>
          <w:cs/>
        </w:rPr>
        <w:t>เพื่อให้มั่นใจได้ว่าสมาชิกกำหนดวงเงินได้อย่างเหมาะสมกับความสามารถในการชำระหนี้ของลูกค้าและความเสี่ยงที่สมาชิกยอมรับได้ สมาชิกจึงควรกำหนดขั้นตอนการพิจารณาและอนุมัติวงเงิน ดังนี้</w:t>
      </w:r>
    </w:p>
    <w:p w:rsidR="00923183" w:rsidRPr="0081184D" w:rsidRDefault="00FB4308" w:rsidP="00F873B0">
      <w:pPr>
        <w:spacing w:line="360" w:lineRule="exact"/>
        <w:ind w:firstLine="1134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.1 สมาชิกควรกำหนดผู้มีอำนาจอนุมัติวงเงินในแต่ละลำดับชั้นไว้ให้ชัดเจน และในกรณีที่เป็นการอนุมัติวงเงินจำนวนสูง สมาชิกควรเพิ่มความรัดกุมในการพิจารณามากยิ่งขึ้น เช่น ควรผ่านการพิจารณาของบุคคลหรือคณะบุคคลที่คณะกรรมการบริษัทมอบอำนาจอนุมัติ คณะกรรมการพิจารณาวงเงิน (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>credit committee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) หรือคณะกรรมการบริษัท เป็นต้น</w:t>
      </w:r>
    </w:p>
    <w:p w:rsidR="00923183" w:rsidRPr="0081184D" w:rsidRDefault="00FB4308" w:rsidP="00F873B0">
      <w:pPr>
        <w:ind w:firstLine="1134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.2 ในการขออนุมัติและการอนุมัติวงเงิน ผู้ขออนุมัติและผู้อนุมัติควรจัดทำบันทึกความเห็นและเหตุผลประกอบการพิจารณาที่ชัดเจนในทุกขั้นตอนของการพิจารณาวงเงิน เช่น เจ้าหน้าที่การตลาด ผู้บังคับบัญชาของเจ้าหน้าที่การตลาด ผู้อนุมัติวงเงินตามลำดับชั้น และในกรณีผู้ที่เกี่ยวข้องมีความเห็นไม่สอดคล้องกัน ควรจะบันทึกความเห็นดังกล่าวให้ชัดเจนด้วย</w:t>
      </w:r>
    </w:p>
    <w:p w:rsidR="00923183" w:rsidRPr="0081184D" w:rsidRDefault="00923183" w:rsidP="00F873B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b/>
          <w:bCs/>
          <w:sz w:val="30"/>
          <w:szCs w:val="30"/>
          <w:cs/>
        </w:rPr>
        <w:tab/>
      </w:r>
      <w:r w:rsidR="00F873B0">
        <w:rPr>
          <w:rFonts w:ascii="DilleniaUPC" w:eastAsia="Calibri" w:hAnsi="DilleniaUPC" w:cs="DilleniaUPC" w:hint="cs"/>
          <w:b/>
          <w:bCs/>
          <w:sz w:val="30"/>
          <w:szCs w:val="30"/>
          <w:cs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Pr="005858A4">
        <w:rPr>
          <w:rFonts w:ascii="DilleniaUPC" w:eastAsia="Calibri" w:hAnsi="DilleniaUPC" w:cs="DilleniaUPC"/>
          <w:sz w:val="30"/>
          <w:szCs w:val="30"/>
          <w:cs/>
        </w:rPr>
        <w:t>.3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 ผู้อนุมัติวงเงินควรพิจารณาอนุมัติตามหลักเกณฑ์ที่สมาชิกกำหนด ในกรณีวงเงินที่ขออนุมัติสูงกว่าเกณฑ์ที่กำหนด สมาชิกควรมีขั้นตอนดำเนินการเพิ่มเติมดังนี้</w:t>
      </w:r>
    </w:p>
    <w:p w:rsidR="00923183" w:rsidRPr="0081184D" w:rsidRDefault="0024206C" w:rsidP="00F873B0">
      <w:pPr>
        <w:tabs>
          <w:tab w:val="left" w:pos="-720"/>
          <w:tab w:val="left" w:pos="0"/>
          <w:tab w:val="left" w:pos="720"/>
          <w:tab w:val="left" w:pos="1134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36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  <w:cs/>
        </w:rPr>
        <w:tab/>
      </w:r>
      <w:r w:rsidR="009164CF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F873B0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164CF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.3.1 กรณีวงเงินที่ขออนุมัติอยู่ในข่ายที่บุคคลหรือคณะบุคคลที่คณะกรรมการบริษัทมอบอำนาจอนุมัติไว้ตามลำดับชั้นจะพิจารณาอนุมัติได้</w:t>
      </w:r>
    </w:p>
    <w:p w:rsidR="00923183" w:rsidRPr="0081184D" w:rsidRDefault="0024206C" w:rsidP="00F873B0">
      <w:pPr>
        <w:tabs>
          <w:tab w:val="left" w:pos="-720"/>
          <w:tab w:val="left" w:pos="0"/>
          <w:tab w:val="left" w:pos="720"/>
          <w:tab w:val="left" w:pos="1134"/>
          <w:tab w:val="left" w:pos="1418"/>
        </w:tabs>
        <w:autoSpaceDE w:val="0"/>
        <w:autoSpaceDN w:val="0"/>
        <w:adjustRightInd w:val="0"/>
        <w:ind w:firstLine="81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(</w:t>
      </w:r>
      <w:r w:rsidR="00751BE8">
        <w:rPr>
          <w:rFonts w:ascii="DilleniaUPC" w:eastAsia="Calibri" w:hAnsi="DilleniaUPC" w:cs="DilleniaUPC" w:hint="cs"/>
          <w:sz w:val="30"/>
          <w:szCs w:val="30"/>
          <w:cs/>
        </w:rPr>
        <w:t>1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) ผู้ขออนุมัติควรจัดทำบันทึกความเห็นและเหตุผลโดยละเอียดเสนอต่อบุคคลหรือคณะบุคคลเพื่อพิจารณาเป็นกรณีพิเศษ </w:t>
      </w:r>
    </w:p>
    <w:p w:rsidR="00923183" w:rsidRPr="0081184D" w:rsidRDefault="0024206C" w:rsidP="00F873B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81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="00751BE8">
        <w:rPr>
          <w:rFonts w:ascii="DilleniaUPC" w:eastAsia="Calibri" w:hAnsi="DilleniaUPC" w:cs="DilleniaUPC"/>
          <w:sz w:val="30"/>
          <w:szCs w:val="30"/>
          <w:cs/>
        </w:rPr>
        <w:t>(</w:t>
      </w:r>
      <w:r w:rsidR="00751BE8">
        <w:rPr>
          <w:rFonts w:ascii="DilleniaUPC" w:eastAsia="Calibri" w:hAnsi="DilleniaUPC" w:cs="DilleniaUPC" w:hint="cs"/>
          <w:sz w:val="30"/>
          <w:szCs w:val="30"/>
          <w:cs/>
        </w:rPr>
        <w:t>2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) ในการพิจารณาวงเงิน บุคคลหรือคณะบุคคลควรระบุเหตุผลที่ชัดเจนในการอนุมัติวงเงิน </w:t>
      </w:r>
    </w:p>
    <w:p w:rsidR="00923183" w:rsidRPr="0081184D" w:rsidRDefault="0024206C" w:rsidP="00F873B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81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</w:rPr>
        <w:lastRenderedPageBreak/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="00751BE8">
        <w:rPr>
          <w:rFonts w:ascii="DilleniaUPC" w:eastAsia="Calibri" w:hAnsi="DilleniaUPC" w:cs="DilleniaUPC"/>
          <w:sz w:val="30"/>
          <w:szCs w:val="30"/>
          <w:cs/>
        </w:rPr>
        <w:t>(</w:t>
      </w:r>
      <w:r w:rsidR="00751BE8">
        <w:rPr>
          <w:rFonts w:ascii="DilleniaUPC" w:eastAsia="Calibri" w:hAnsi="DilleniaUPC" w:cs="DilleniaUPC" w:hint="cs"/>
          <w:sz w:val="30"/>
          <w:szCs w:val="30"/>
          <w:cs/>
        </w:rPr>
        <w:t>3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) บุคคลหรือคณะบุคคลควรจัดทำรายงานการพิจารณาอนุมัติวงเงินตาม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.</w:t>
      </w:r>
      <w:r w:rsidR="00B87A56">
        <w:rPr>
          <w:rFonts w:ascii="DilleniaUPC" w:eastAsia="Calibri" w:hAnsi="DilleniaUPC" w:cs="DilleniaUPC" w:hint="cs"/>
          <w:sz w:val="30"/>
          <w:szCs w:val="30"/>
          <w:cs/>
        </w:rPr>
        <w:t>3.1</w:t>
      </w:r>
      <w:r w:rsidR="00B87A56">
        <w:rPr>
          <w:rFonts w:ascii="DilleniaUPC" w:eastAsia="Calibri" w:hAnsi="DilleniaUPC" w:cs="DilleniaUPC"/>
          <w:sz w:val="30"/>
          <w:szCs w:val="30"/>
          <w:cs/>
        </w:rPr>
        <w:t>(</w:t>
      </w:r>
      <w:r w:rsidR="00B87A56">
        <w:rPr>
          <w:rFonts w:ascii="DilleniaUPC" w:eastAsia="Calibri" w:hAnsi="DilleniaUPC" w:cs="DilleniaUPC" w:hint="cs"/>
          <w:sz w:val="30"/>
          <w:szCs w:val="30"/>
          <w:cs/>
        </w:rPr>
        <w:t>2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) ของลูกค้าที่ขออนุมัติวงเงินสูงกว่าเกณฑ์ที่กำหนด</w:t>
      </w:r>
      <w:r w:rsidR="00BE2C0C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เพื่อเสนอต่อคณะกรรมการบริษัทเพื่อทราบ ในการประชุมครั้งแรกภายหลังจากที่มีการพิจารณาอนุมัติวงเงินดังกล่าว ซึ่งไม่ควรเกิน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 xml:space="preserve"> 3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เดือนนับจากวันที่บุคคลหรือคณะบุคคลได้พิจารณาอนุมัติวงเงินนั้น ในกรณีที่คณะกรรมการบริษัทไม่เห็นด้วยกับการอนุมัติวงเงินให้ลูกค้ารายใด สมาชิกควรทบทวนวงเงินของลูกค้ารายนั้นทันที </w:t>
      </w:r>
    </w:p>
    <w:p w:rsidR="00923183" w:rsidRPr="0081184D" w:rsidRDefault="00751BE8" w:rsidP="00AD5C8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81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F873B0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ทั้งนี้ คณะกรรมการบริษัทอาจมอบหมายให้คณะบุคคลดูแลติดตามรายการที่อนุมัติต่างจากแนวทางที่บริษัทกำหนดและนำเสนอต่อคณะกรรมการบริษัทในกรณีที่เป็นรายการที่มีนัยสำคัญ</w:t>
      </w:r>
    </w:p>
    <w:p w:rsidR="00923183" w:rsidRPr="0081184D" w:rsidRDefault="00923183" w:rsidP="00751BE8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360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</w:rPr>
        <w:tab/>
      </w:r>
      <w:r w:rsidR="00751BE8"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751BE8">
        <w:rPr>
          <w:rFonts w:ascii="DilleniaUPC" w:eastAsia="Calibri" w:hAnsi="DilleniaUPC" w:cs="DilleniaUPC" w:hint="cs"/>
          <w:sz w:val="30"/>
          <w:szCs w:val="30"/>
          <w:cs/>
        </w:rPr>
        <w:t>.3.2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 กรณีวงเงินที่ขออนุมัติไม่อยู่ในข่ายที่บุคคลหรือคณะบุคคลตาม</w:t>
      </w:r>
      <w:r w:rsidR="00751BE8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BE2C0C">
        <w:rPr>
          <w:rFonts w:ascii="DilleniaUPC" w:eastAsia="Calibri" w:hAnsi="DilleniaUPC" w:cs="DilleniaUPC" w:hint="cs"/>
          <w:sz w:val="30"/>
          <w:szCs w:val="30"/>
          <w:cs/>
        </w:rPr>
        <w:t>.3.1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 จะพิจารณาอนุมัติได้ </w:t>
      </w:r>
    </w:p>
    <w:p w:rsidR="00923183" w:rsidRPr="0081184D" w:rsidRDefault="00751BE8" w:rsidP="00BE2C0C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81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>
        <w:rPr>
          <w:rFonts w:ascii="DilleniaUPC" w:eastAsia="Calibri" w:hAnsi="DilleniaUPC" w:cs="DilleniaUPC"/>
          <w:sz w:val="30"/>
          <w:szCs w:val="30"/>
          <w:cs/>
        </w:rPr>
        <w:t>(</w:t>
      </w:r>
      <w:r>
        <w:rPr>
          <w:rFonts w:ascii="DilleniaUPC" w:eastAsia="Calibri" w:hAnsi="DilleniaUPC" w:cs="DilleniaUPC" w:hint="cs"/>
          <w:sz w:val="30"/>
          <w:szCs w:val="30"/>
          <w:cs/>
        </w:rPr>
        <w:t>1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) ผู้ขออนุมัติควรจัดทำบันทึกความเห็นและเหตุผลโดยละเอียดเสนอต่อคณะกรรมการบริษัทเพื่อพิจารณาเป็นกรณีพิเศษ </w:t>
      </w:r>
    </w:p>
    <w:p w:rsidR="00923183" w:rsidRPr="0081184D" w:rsidRDefault="00751BE8" w:rsidP="00751BE8">
      <w:pPr>
        <w:tabs>
          <w:tab w:val="left" w:pos="1134"/>
        </w:tabs>
        <w:ind w:firstLine="720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>
        <w:rPr>
          <w:rFonts w:ascii="DilleniaUPC" w:eastAsia="Calibri" w:hAnsi="DilleniaUPC" w:cs="DilleniaUPC"/>
          <w:sz w:val="30"/>
          <w:szCs w:val="30"/>
          <w:cs/>
        </w:rPr>
        <w:t>(</w:t>
      </w:r>
      <w:r>
        <w:rPr>
          <w:rFonts w:ascii="DilleniaUPC" w:eastAsia="Calibri" w:hAnsi="DilleniaUPC" w:cs="DilleniaUPC" w:hint="cs"/>
          <w:sz w:val="30"/>
          <w:szCs w:val="30"/>
          <w:cs/>
        </w:rPr>
        <w:t>2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) ในการพิจารณาวงเงิน คณะกรรมการบริษัทควรระบุเหตุผลที่ชัดเจนในการอนุมัติวงเงิน</w:t>
      </w:r>
    </w:p>
    <w:p w:rsidR="00923183" w:rsidRPr="0081184D" w:rsidRDefault="00923183" w:rsidP="00F873B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ab/>
      </w:r>
      <w:r w:rsidR="00F873B0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751BE8" w:rsidRPr="00751BE8">
        <w:rPr>
          <w:rFonts w:ascii="DilleniaUPC" w:eastAsia="Calibri" w:hAnsi="DilleniaUPC" w:cs="DilleniaUPC" w:hint="cs"/>
          <w:sz w:val="30"/>
          <w:szCs w:val="30"/>
          <w:cs/>
        </w:rPr>
        <w:t>.4</w:t>
      </w:r>
      <w:r w:rsidRPr="00751BE8">
        <w:rPr>
          <w:rFonts w:ascii="DilleniaUPC" w:eastAsia="Calibri" w:hAnsi="DilleniaUPC" w:cs="DilleniaUPC"/>
          <w:sz w:val="30"/>
          <w:szCs w:val="30"/>
          <w:cs/>
        </w:rPr>
        <w:t xml:space="preserve"> สมาชิก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ควรจัดเก็บและเรียกดูข้อมูลของลูกค้าที่</w:t>
      </w:r>
      <w:r w:rsidR="007F7E56">
        <w:rPr>
          <w:rFonts w:ascii="DilleniaUPC" w:eastAsia="Calibri" w:hAnsi="DilleniaUPC" w:cs="DilleniaUPC"/>
          <w:sz w:val="30"/>
          <w:szCs w:val="30"/>
          <w:cs/>
        </w:rPr>
        <w:t xml:space="preserve">สมาชิกให้วงเงินไม่เป็นไปตามข้อ </w:t>
      </w:r>
      <w:r w:rsidR="007F7E56">
        <w:rPr>
          <w:rFonts w:ascii="DilleniaUPC" w:eastAsia="Calibri" w:hAnsi="DilleniaUPC" w:cs="DilleniaUPC" w:hint="cs"/>
          <w:sz w:val="30"/>
          <w:szCs w:val="30"/>
          <w:cs/>
        </w:rPr>
        <w:t>4.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 การกำหนดวงเงินซื้อขายหลักทรัพย์ของลูกค้า ได้ทันทีเมื่อสำนักงานคณะกรรมการกำกับหลักทรัพย์และตลาดหลักทรัพย์ร้องขอ</w:t>
      </w:r>
    </w:p>
    <w:p w:rsidR="00923183" w:rsidRPr="0081184D" w:rsidRDefault="00F873B0" w:rsidP="00F873B0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sz w:val="30"/>
          <w:szCs w:val="30"/>
          <w:cs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="00751BE8">
        <w:rPr>
          <w:rFonts w:ascii="DilleniaUPC" w:eastAsia="Calibri" w:hAnsi="DilleniaUPC" w:cs="DilleniaUPC" w:hint="cs"/>
          <w:sz w:val="30"/>
          <w:szCs w:val="30"/>
          <w:cs/>
        </w:rPr>
        <w:t>.5</w:t>
      </w:r>
      <w:r w:rsidR="00923183" w:rsidRPr="0081184D">
        <w:rPr>
          <w:rFonts w:ascii="DilleniaUPC" w:eastAsia="Calibri" w:hAnsi="DilleniaUPC" w:cs="DilleniaUPC"/>
          <w:b/>
          <w:bCs/>
          <w:sz w:val="30"/>
          <w:szCs w:val="30"/>
          <w:cs/>
        </w:rPr>
        <w:t xml:space="preserve">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ในกรณีที่มีเหตุจำเป็นที่สมาชิกเห็นสมควรจะพิจารณาเพิ่มวงเงินชั่วคราวให้แก่ลูกค้า สมาชิกควรกำหนดขั้นตอนการพิจารณาและผู้มีอำนาจอนุมัติวงเงินชั่วคราว รวมทั้งระบุเหตุผลและระยะเวลาของวงเงินชั่วคราวดังกล่าวให้ชัดเจน เช่น</w:t>
      </w:r>
    </w:p>
    <w:p w:rsidR="00923183" w:rsidRPr="0081184D" w:rsidRDefault="00923183" w:rsidP="00751BE8">
      <w:pPr>
        <w:tabs>
          <w:tab w:val="left" w:pos="1134"/>
        </w:tabs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ในกรณีที่การขออนุมัติวงเงินชั่วคราวข้างต้นอาจทำให้วงเงินของลูกค้าสูงกว่าเกณฑ์ปกติ (เช่น เกณฑ์ปกติกำหนดวงเงินสูงสุด 1</w:t>
      </w:r>
      <w:r w:rsidRPr="0081184D">
        <w:rPr>
          <w:rFonts w:ascii="DilleniaUPC" w:eastAsia="Calibri" w:hAnsi="DilleniaUPC" w:cs="DilleniaUPC"/>
          <w:sz w:val="30"/>
          <w:szCs w:val="30"/>
        </w:rPr>
        <w:t>,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000</w:t>
      </w:r>
      <w:r w:rsidRPr="0081184D">
        <w:rPr>
          <w:rFonts w:ascii="DilleniaUPC" w:eastAsia="Calibri" w:hAnsi="DilleniaUPC" w:cs="DilleniaUPC"/>
          <w:sz w:val="30"/>
          <w:szCs w:val="30"/>
        </w:rPr>
        <w:t>,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000 บาท สมาชิกอนุมัติวงเงินตอนที่เปิดบัญชี 800</w:t>
      </w:r>
      <w:r w:rsidRPr="0081184D">
        <w:rPr>
          <w:rFonts w:ascii="DilleniaUPC" w:eastAsia="Calibri" w:hAnsi="DilleniaUPC" w:cs="DilleniaUPC"/>
          <w:sz w:val="30"/>
          <w:szCs w:val="30"/>
        </w:rPr>
        <w:t>,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000 บาท และจะขออนุมัติวงเงินชั่วคราวเกินกว่า 200</w:t>
      </w:r>
      <w:r w:rsidRPr="0081184D">
        <w:rPr>
          <w:rFonts w:ascii="DilleniaUPC" w:eastAsia="Calibri" w:hAnsi="DilleniaUPC" w:cs="DilleniaUPC"/>
          <w:sz w:val="30"/>
          <w:szCs w:val="30"/>
        </w:rPr>
        <w:t>,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000 บาท) สมาชิกควรปฏิบัติในทำนองเดียวกับการพิจารณาอนุมัต</w:t>
      </w:r>
      <w:r w:rsidR="00751BE8">
        <w:rPr>
          <w:rFonts w:ascii="DilleniaUPC" w:eastAsia="Calibri" w:hAnsi="DilleniaUPC" w:cs="DilleniaUPC"/>
          <w:sz w:val="30"/>
          <w:szCs w:val="30"/>
          <w:cs/>
        </w:rPr>
        <w:t xml:space="preserve">ิวงเงินสูงกว่าเกณฑ์ที่กำหนดตาม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.3.1 หรือ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5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.3.2 โดยอนุโลม</w:t>
      </w:r>
    </w:p>
    <w:p w:rsidR="00923183" w:rsidRPr="0081184D" w:rsidRDefault="00923183" w:rsidP="00751BE8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</w:rPr>
        <w:tab/>
      </w:r>
      <w:r w:rsidR="00751BE8"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ในการเพิ่มวงเงินชั่วคราวดังกล่าว สมาชิกควรกำหนดอัตราสูงสุดของวงเงินชั่วคราวตามสัดส่วนของวงเงินเดิมที่จะไม่ทำให้วงเงินของลูกค้าเพิ่มขึ้นอย่างมีนัยสำคัญ (เช่น วงเงินชั่วคราวไม่เกินร้อยละ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 50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ของวงเงินเดิม)</w:t>
      </w:r>
    </w:p>
    <w:p w:rsidR="00923183" w:rsidRDefault="00923183" w:rsidP="004613DE">
      <w:pPr>
        <w:tabs>
          <w:tab w:val="left" w:pos="1134"/>
        </w:tabs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นอกจากนี้ สมาชิกควรดำเนินการที่สามารถทำให้มั่นใจได้ว่า การเพิ่มวงเงินชั่วคราวเป็นการอนุมัติเพื่อประโยชน์ในการซื้อขายหลักทรัพย์เป็นครั้งคราวเท่านั้นและควรกลับไปสู่วงเงินเดิมโดยเร็ว ซึ่งหากสมาชิกมีการอนุมัติวงเงินชั่วคราวให้ลูกค้ารายใดบ่อยครั้ง สมาชิกควรพิจารณาทบทวนวงเงินของลูกค้ารายนั้นโดยไม่ชักช้า</w:t>
      </w:r>
    </w:p>
    <w:p w:rsidR="00923183" w:rsidRPr="0081184D" w:rsidRDefault="00F873B0" w:rsidP="00126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6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5571B8" w:rsidRPr="005571B8">
        <w:rPr>
          <w:rFonts w:ascii="DilleniaUPC" w:eastAsia="Calibri" w:hAnsi="DilleniaUPC" w:cs="DilleniaUPC" w:hint="cs"/>
          <w:sz w:val="30"/>
          <w:szCs w:val="30"/>
          <w:cs/>
        </w:rPr>
        <w:t>ข้อ</w:t>
      </w:r>
      <w:r w:rsidR="005571B8" w:rsidRPr="005571B8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6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. การทบทวนและการระงับวงเงินของลูกค้า </w:t>
      </w:r>
    </w:p>
    <w:p w:rsidR="00923183" w:rsidRPr="0081184D" w:rsidRDefault="00923183" w:rsidP="009231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ab/>
        <w:t>เพื่อให้การกำหนดวงเงินของลูกค้าเป็นปัจจุบันและเหมาะสมกับข้อมูลลูกค้าที่อาจมีการเปลี่ยนแปลงไป สมาชิกควรทบทวนวงเงินของลูกค้าอย่างน้อยปีละครั้ง ยกเว้นในกรณีต่อไปนี้ที่สมาชิกควรทบทวนวงเงินทันทีหรืออาจพิจารณาระงับการซื้อขายของลูกค้า</w:t>
      </w:r>
    </w:p>
    <w:p w:rsidR="00923183" w:rsidRPr="0081184D" w:rsidRDefault="00923183" w:rsidP="00F50F4E">
      <w:pPr>
        <w:tabs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thaiDistribute"/>
        <w:rPr>
          <w:rFonts w:ascii="DilleniaUPC" w:eastAsia="Calibri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</w:rPr>
        <w:tab/>
      </w:r>
      <w:r w:rsidR="00F873B0">
        <w:rPr>
          <w:rFonts w:ascii="DilleniaUPC" w:eastAsia="Calibri" w:hAnsi="DilleniaUPC" w:cs="DilleniaUPC"/>
          <w:sz w:val="30"/>
          <w:szCs w:val="30"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6</w:t>
      </w:r>
      <w:r w:rsidR="004613DE">
        <w:rPr>
          <w:rFonts w:ascii="DilleniaUPC" w:eastAsia="Calibri" w:hAnsi="DilleniaUPC" w:cs="DilleniaUPC" w:hint="cs"/>
          <w:sz w:val="30"/>
          <w:szCs w:val="30"/>
          <w:cs/>
        </w:rPr>
        <w:t>.1</w:t>
      </w:r>
      <w:r w:rsidRPr="0081184D">
        <w:rPr>
          <w:rFonts w:ascii="DilleniaUPC" w:eastAsia="Calibri" w:hAnsi="DilleniaUPC" w:cs="DilleniaUPC"/>
          <w:b/>
          <w:bCs/>
          <w:sz w:val="30"/>
          <w:szCs w:val="30"/>
          <w:cs/>
        </w:rPr>
        <w:t xml:space="preserve"> </w:t>
      </w:r>
      <w:r w:rsidR="00F50F4E">
        <w:rPr>
          <w:rFonts w:ascii="DilleniaUPC" w:eastAsia="Calibri" w:hAnsi="DilleniaUPC" w:cs="DilleniaUPC" w:hint="cs"/>
          <w:b/>
          <w:bCs/>
          <w:sz w:val="30"/>
          <w:szCs w:val="30"/>
          <w:cs/>
        </w:rPr>
        <w:tab/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ลูกค้ามีการเปลี่ยนแปลงที่อาจมีผลกระทบต่อฐานะการเงินและความสามารถในการชำระหนี้ เช่น ลูกค้ามีการชำระหนี้ล่าช้า ลูกค้าผิดนัดชำระหนี้ ลูกค้าใช้เงินกู้ยืมนอกระบบ ธุรกิจลูกค้าประสบความเสียหาย ลูกค้ามีหนี้สินล้น</w:t>
      </w:r>
      <w:r w:rsidR="00A72827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พ้นตัว เป็นต้น หรือพบความผิดปกติในข้อมูลสำคัญที่ใช้ประกอบการพิจารณาวงเงิน เช่น การโอนหุ้นที่ใช้ในการเพิ่มวงเงินออกในเวลาไม่นานหลังได้รับการพิจารณาเพิ่มวงเงิน</w:t>
      </w:r>
    </w:p>
    <w:p w:rsidR="00923183" w:rsidRPr="0081184D" w:rsidRDefault="00F873B0" w:rsidP="00F50F4E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6</w:t>
      </w:r>
      <w:r w:rsidR="004613DE">
        <w:rPr>
          <w:rFonts w:ascii="DilleniaUPC" w:eastAsia="Calibri" w:hAnsi="DilleniaUPC" w:cs="DilleniaUPC" w:hint="cs"/>
          <w:sz w:val="30"/>
          <w:szCs w:val="30"/>
          <w:cs/>
        </w:rPr>
        <w:t>.2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F50F4E">
        <w:rPr>
          <w:rFonts w:ascii="DilleniaUPC" w:eastAsia="Calibri" w:hAnsi="DilleniaUPC" w:cs="DilleniaUPC"/>
          <w:sz w:val="30"/>
          <w:szCs w:val="30"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ลูกค้ามีพฤติกรรมซื้อขายหลักทรัพย์ในลักษณะที่อาจไม่เหมาะสม  ซึ่งมีผลให้มีการเปลี่ยนแปลง หรือไม่มีการเปลี่ยนแปลงอันไม่ตรงต่อสภาพปกติของตลาด (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>false market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) หรือตามที่ตลาดหลักทรัพย์มีข้อสังเกต </w:t>
      </w:r>
    </w:p>
    <w:p w:rsidR="00923183" w:rsidRPr="0081184D" w:rsidRDefault="00F873B0" w:rsidP="00F50F4E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164CF">
        <w:rPr>
          <w:rFonts w:ascii="DilleniaUPC" w:eastAsia="Calibri" w:hAnsi="DilleniaUPC" w:cs="DilleniaUPC" w:hint="cs"/>
          <w:sz w:val="30"/>
          <w:szCs w:val="30"/>
          <w:cs/>
        </w:rPr>
        <w:t>6</w:t>
      </w:r>
      <w:r w:rsidR="004613DE">
        <w:rPr>
          <w:rFonts w:ascii="DilleniaUPC" w:eastAsia="Calibri" w:hAnsi="DilleniaUPC" w:cs="DilleniaUPC" w:hint="cs"/>
          <w:sz w:val="30"/>
          <w:szCs w:val="30"/>
          <w:cs/>
        </w:rPr>
        <w:t>.3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F50F4E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ลูกค้ามีพฤติกรรมที่อาจเข้าข่ายการดำเนินการที่เป็นการฟอกเงินหรือการซื้อขายเป็นกลุ่ม หรือเป็น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 xml:space="preserve"> nominee </w:t>
      </w:r>
    </w:p>
    <w:p w:rsidR="00923183" w:rsidRPr="0081184D" w:rsidRDefault="004613DE" w:rsidP="004613DE">
      <w:pPr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lastRenderedPageBreak/>
        <w:tab/>
      </w:r>
      <w:r w:rsidR="00F873B0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ทั้งนี้</w:t>
      </w:r>
      <w:r w:rsidR="00F873B0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ในการทบทวนวงเงินและการระงับวงเงินของลูกค้า บริษัทอาจเลือกใช้เกณฑ์ตามที่กำหนดหรือพิจารณาจากประวัติการซื้อขายและการชำระราคาซื้อขายของลูกค้า</w:t>
      </w:r>
    </w:p>
    <w:p w:rsidR="00923183" w:rsidRDefault="00F873B0" w:rsidP="004613DE">
      <w:pPr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 xml:space="preserve">นอกเหนือจากการทบทวนวงเงินให้เหมาะสมกับความสามารถในการชำระหนี้ของลูกค้า สมาชิกควรพิจารณาทบทวนวงเงินซื้อขายหลักทรัพย์ให้เหมาะสมกับพฤติกรรมการลงทุนของลูกค้า โดยไม่เพิ่มวงเงินซื้อขายหลักทรัพย์ของลูกค้าจากการพิจารณาเพียงข้อมูลการซื้อขายหลักทรัพย์ที่ผ่านมา หรือประวัติไม่เคยผิดนัดชำระหนี้  </w:t>
      </w:r>
      <w:r>
        <w:rPr>
          <w:rFonts w:ascii="DilleniaUPC" w:eastAsia="Calibri" w:hAnsi="DilleniaUPC" w:cs="DilleniaUPC" w:hint="cs"/>
          <w:sz w:val="30"/>
          <w:szCs w:val="30"/>
          <w:cs/>
        </w:rPr>
        <w:t xml:space="preserve">    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ในกรณีที่สมาชิกทราบว่า ลูกค้ามีพฤติกรรมการลงทุนในลักษณะซื้อขายเร็ว หรือซื้อขายตามข่าวลือ</w:t>
      </w:r>
      <w:r w:rsidR="008D2194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หรือซื้อขายหลักทรัพย์ที่มีความผันผวนสูง โดยอาจไม่คำนึงถึงปัจจัยพื้นฐาน หรือลูกค้ามีการซื้อขายกระจุกตัวในหุ้นที่อยู่ใน</w:t>
      </w:r>
      <w:r w:rsidR="00923183" w:rsidRPr="0081184D">
        <w:rPr>
          <w:rFonts w:ascii="DilleniaUPC" w:eastAsia="Calibri" w:hAnsi="DilleniaUPC" w:cs="DilleniaUPC"/>
          <w:sz w:val="30"/>
          <w:szCs w:val="30"/>
        </w:rPr>
        <w:t xml:space="preserve"> Turnover list</w:t>
      </w:r>
      <w:r w:rsidR="004613DE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หรือมีประวัติการซื้อขายไม่เหมาะสม เช่น ลูกค้าเคยถูกลงโทษหรือกล่าวโทษจากหน่วยงานทางการ  สมาชิกควรพิจารณากำหนดวงเงินซื้อขายหลักทรัพย์ให้ลูกค้าดังกล่าว ด้วยความเข้มงวดกว่าปกติ เพื่อป้องกันมิให้เกิดปัญหาการผิดนัดชำระราคาและส่งมอบหลักทรัพย์ของลูกค้าอันอาจส่งผลกระทบต่อฐานะของสมาชิก และเพื่อมิให้การซื้อขายหลักทรัพย์ของลูกค้าส่งผลกระทบต่อสภาพตลาดโดยรวม ตลอดจนป้องกันมิให้สมาชิกตกเป็นเครื่องมือสนับสนุนลูกค้าที่มีวัตถุประสงค์อื่นแอบแฝง</w:t>
      </w:r>
    </w:p>
    <w:p w:rsidR="00923183" w:rsidRPr="0081184D" w:rsidRDefault="00F873B0" w:rsidP="00126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60"/>
        <w:jc w:val="thaiDistribute"/>
        <w:rPr>
          <w:rFonts w:ascii="DilleniaUPC" w:eastAsia="Calibri" w:hAnsi="DilleniaUPC" w:cs="DilleniaUPC"/>
          <w:sz w:val="30"/>
          <w:szCs w:val="30"/>
        </w:rPr>
      </w:pPr>
      <w:r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5571B8" w:rsidRPr="005571B8">
        <w:rPr>
          <w:rFonts w:ascii="DilleniaUPC" w:eastAsia="Calibri" w:hAnsi="DilleniaUPC" w:cs="DilleniaUPC" w:hint="cs"/>
          <w:sz w:val="30"/>
          <w:szCs w:val="30"/>
          <w:cs/>
        </w:rPr>
        <w:t>ข้อ</w:t>
      </w:r>
      <w:r w:rsidR="005571B8" w:rsidRPr="005571B8">
        <w:rPr>
          <w:rFonts w:ascii="DilleniaUPC" w:eastAsia="Calibri" w:hAnsi="DilleniaUPC" w:cs="DilleniaUPC"/>
          <w:sz w:val="30"/>
          <w:szCs w:val="30"/>
          <w:cs/>
        </w:rPr>
        <w:t xml:space="preserve"> </w:t>
      </w:r>
      <w:r w:rsidR="00FB4308">
        <w:rPr>
          <w:rFonts w:ascii="DilleniaUPC" w:eastAsia="Calibri" w:hAnsi="DilleniaUPC" w:cs="DilleniaUPC" w:hint="cs"/>
          <w:sz w:val="30"/>
          <w:szCs w:val="30"/>
          <w:cs/>
        </w:rPr>
        <w:t>7</w:t>
      </w:r>
      <w:r w:rsidR="00923183" w:rsidRPr="0081184D">
        <w:rPr>
          <w:rFonts w:ascii="DilleniaUPC" w:eastAsia="Calibri" w:hAnsi="DilleniaUPC" w:cs="DilleniaUPC"/>
          <w:sz w:val="30"/>
          <w:szCs w:val="30"/>
          <w:cs/>
        </w:rPr>
        <w:t>. การตรวจสอบการปฏิบัติงาน</w:t>
      </w:r>
    </w:p>
    <w:p w:rsidR="00923183" w:rsidRPr="0081184D" w:rsidRDefault="00923183" w:rsidP="004613DE">
      <w:pPr>
        <w:ind w:firstLine="720"/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เพื่อให้มั่นใจว่าสมาชิกมีการพิจารณาการกำหนดวงเงินซื้อขายหลักทรัพย์สำหรับลูกค้าเป็นไปตามหลักเกณฑ์ที่กำหนด สมาชิกควรจัดให้หัวหน้าสายงานที่เกี่ยวข้องกับการอนุมัติวงเงิน รวมถึงผู้บังคับบัญชาตามลำดับชั้น ติดตามดูแลกา</w:t>
      </w:r>
      <w:r w:rsidR="0009305C">
        <w:rPr>
          <w:rFonts w:ascii="DilleniaUPC" w:eastAsia="Calibri" w:hAnsi="DilleniaUPC" w:cs="DilleniaUPC"/>
          <w:sz w:val="30"/>
          <w:szCs w:val="30"/>
          <w:cs/>
        </w:rPr>
        <w:t>รปฏิบัติงานของผู้ใต้บังคับบัญชา</w:t>
      </w:r>
      <w:r w:rsidR="0009305C">
        <w:rPr>
          <w:rFonts w:ascii="DilleniaUPC" w:eastAsia="Calibri" w:hAnsi="DilleniaUPC" w:cs="DilleniaUPC" w:hint="cs"/>
          <w:sz w:val="30"/>
          <w:szCs w:val="30"/>
          <w:cs/>
        </w:rPr>
        <w:t>อ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ย่างสมํ่าเสมอ นอกจากนี้ สมาชิกควรมีการสุ่มตรวจสอบการปฏิบัติงานในเรื่องดังกล่าวอย่างสมํ่าเสมอ</w:t>
      </w:r>
    </w:p>
    <w:p w:rsidR="00E94235" w:rsidRPr="0081184D" w:rsidRDefault="00E94235" w:rsidP="00F84669">
      <w:pPr>
        <w:spacing w:before="160"/>
        <w:ind w:right="-85" w:firstLine="720"/>
        <w:rPr>
          <w:rFonts w:ascii="DilleniaUPC" w:hAnsi="DilleniaUPC" w:cs="DilleniaUPC"/>
          <w:sz w:val="30"/>
          <w:szCs w:val="30"/>
          <w:cs/>
        </w:rPr>
      </w:pPr>
      <w:r w:rsidRPr="0081184D">
        <w:rPr>
          <w:rFonts w:ascii="DilleniaUPC" w:hAnsi="DilleniaUPC" w:cs="DilleniaUPC"/>
          <w:sz w:val="30"/>
          <w:szCs w:val="30"/>
          <w:cs/>
        </w:rPr>
        <w:t>แนวทางการปฏิบัติงานนี้</w:t>
      </w:r>
      <w:r w:rsidR="009838EF">
        <w:rPr>
          <w:rFonts w:ascii="DilleniaUPC" w:hAnsi="DilleniaUPC" w:cs="DilleniaUPC"/>
          <w:sz w:val="30"/>
          <w:szCs w:val="30"/>
          <w:cs/>
        </w:rPr>
        <w:t xml:space="preserve">มีผลบังคับตั้งแต่วันที่ 1 </w:t>
      </w:r>
      <w:r w:rsidR="009838EF" w:rsidRPr="0003621D">
        <w:rPr>
          <w:rFonts w:ascii="DilleniaUPC" w:hAnsi="DilleniaUPC" w:cs="DilleniaUPC" w:hint="cs"/>
          <w:sz w:val="30"/>
          <w:szCs w:val="30"/>
          <w:cs/>
        </w:rPr>
        <w:t>เมษายน</w:t>
      </w:r>
      <w:r w:rsidRPr="0081184D">
        <w:rPr>
          <w:rFonts w:ascii="DilleniaUPC" w:hAnsi="DilleniaUPC" w:cs="DilleniaUPC"/>
          <w:sz w:val="30"/>
          <w:szCs w:val="30"/>
          <w:cs/>
        </w:rPr>
        <w:t xml:space="preserve"> 2557 เป็นต้นไป</w:t>
      </w:r>
    </w:p>
    <w:p w:rsidR="00E94235" w:rsidRPr="0081184D" w:rsidRDefault="00E94235" w:rsidP="00E94235">
      <w:pPr>
        <w:tabs>
          <w:tab w:val="left" w:pos="1080"/>
        </w:tabs>
        <w:jc w:val="thaiDistribute"/>
        <w:rPr>
          <w:rFonts w:ascii="DilleniaUPC" w:hAnsi="DilleniaUPC" w:cs="DilleniaUPC"/>
          <w:sz w:val="30"/>
          <w:szCs w:val="30"/>
        </w:rPr>
      </w:pPr>
    </w:p>
    <w:p w:rsidR="00E94235" w:rsidRPr="0081184D" w:rsidRDefault="00E94235" w:rsidP="00E37D7D">
      <w:pPr>
        <w:pStyle w:val="BodyText"/>
        <w:tabs>
          <w:tab w:val="left" w:pos="567"/>
          <w:tab w:val="left" w:pos="1276"/>
          <w:tab w:val="center" w:pos="5812"/>
        </w:tabs>
        <w:spacing w:after="0"/>
        <w:ind w:right="-653"/>
        <w:rPr>
          <w:rFonts w:ascii="DilleniaUPC" w:hAnsi="DilleniaUPC" w:cs="DilleniaUPC"/>
          <w:sz w:val="30"/>
          <w:szCs w:val="30"/>
        </w:rPr>
      </w:pPr>
      <w:r w:rsidRPr="0081184D">
        <w:rPr>
          <w:rFonts w:ascii="DilleniaUPC" w:hAnsi="DilleniaUPC" w:cs="DilleniaUPC"/>
          <w:sz w:val="30"/>
          <w:szCs w:val="30"/>
          <w:cs/>
        </w:rPr>
        <w:tab/>
      </w:r>
      <w:r w:rsidR="00E37D7D">
        <w:rPr>
          <w:rFonts w:ascii="DilleniaUPC" w:hAnsi="DilleniaUPC" w:cs="DilleniaUPC" w:hint="cs"/>
          <w:sz w:val="30"/>
          <w:szCs w:val="30"/>
          <w:cs/>
        </w:rPr>
        <w:tab/>
      </w:r>
      <w:r w:rsidR="00F84669">
        <w:rPr>
          <w:rFonts w:ascii="DilleniaUPC" w:hAnsi="DilleniaUPC" w:cs="DilleniaUPC" w:hint="cs"/>
          <w:sz w:val="30"/>
          <w:szCs w:val="30"/>
          <w:cs/>
        </w:rPr>
        <w:tab/>
      </w:r>
      <w:r w:rsidRPr="0081184D">
        <w:rPr>
          <w:rFonts w:ascii="DilleniaUPC" w:hAnsi="DilleniaUPC" w:cs="DilleniaUPC"/>
          <w:sz w:val="30"/>
          <w:szCs w:val="30"/>
          <w:cs/>
        </w:rPr>
        <w:t xml:space="preserve">ประกาศ ณ วันที่  </w:t>
      </w:r>
      <w:r w:rsidR="00DB5513">
        <w:rPr>
          <w:rFonts w:ascii="DilleniaUPC" w:hAnsi="DilleniaUPC" w:cs="DilleniaUPC" w:hint="cs"/>
          <w:sz w:val="30"/>
          <w:szCs w:val="30"/>
          <w:cs/>
        </w:rPr>
        <w:t xml:space="preserve">5 </w:t>
      </w:r>
      <w:r w:rsidR="00417CF2">
        <w:rPr>
          <w:rFonts w:ascii="DilleniaUPC" w:hAnsi="DilleniaUPC" w:cs="DilleniaUPC" w:hint="cs"/>
          <w:sz w:val="30"/>
          <w:szCs w:val="30"/>
          <w:cs/>
        </w:rPr>
        <w:t>กุมภาพันธ์ 2557</w:t>
      </w:r>
    </w:p>
    <w:p w:rsidR="00E94235" w:rsidRPr="0081184D" w:rsidRDefault="00E94235" w:rsidP="00E94235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sz w:val="30"/>
          <w:szCs w:val="30"/>
        </w:rPr>
      </w:pPr>
      <w:r w:rsidRPr="0081184D">
        <w:rPr>
          <w:rFonts w:ascii="DilleniaUPC" w:hAnsi="DilleniaUPC" w:cs="DilleniaUPC"/>
          <w:sz w:val="30"/>
          <w:szCs w:val="30"/>
          <w:cs/>
        </w:rPr>
        <w:tab/>
      </w:r>
      <w:r w:rsidRPr="0081184D">
        <w:rPr>
          <w:rFonts w:ascii="DilleniaUPC" w:hAnsi="DilleniaUPC" w:cs="DilleniaUPC"/>
          <w:sz w:val="30"/>
          <w:szCs w:val="30"/>
          <w:cs/>
        </w:rPr>
        <w:tab/>
      </w:r>
    </w:p>
    <w:p w:rsidR="00E94235" w:rsidRPr="0081184D" w:rsidRDefault="00E94235" w:rsidP="00E94235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sz w:val="30"/>
          <w:szCs w:val="30"/>
          <w:lang w:eastAsia="ja-JP"/>
        </w:rPr>
      </w:pPr>
    </w:p>
    <w:p w:rsidR="00E94235" w:rsidRPr="0081184D" w:rsidRDefault="00E94235" w:rsidP="00E94235">
      <w:pPr>
        <w:pStyle w:val="BodyText"/>
        <w:tabs>
          <w:tab w:val="left" w:pos="567"/>
          <w:tab w:val="center" w:pos="5400"/>
        </w:tabs>
        <w:spacing w:after="0"/>
        <w:rPr>
          <w:rFonts w:ascii="DilleniaUPC" w:eastAsia="MS Mincho" w:hAnsi="DilleniaUPC" w:cs="DilleniaUPC"/>
          <w:sz w:val="30"/>
          <w:szCs w:val="30"/>
          <w:cs/>
          <w:lang w:eastAsia="ja-JP"/>
        </w:rPr>
      </w:pPr>
    </w:p>
    <w:p w:rsidR="00E94235" w:rsidRPr="0081184D" w:rsidRDefault="00E94235" w:rsidP="00E94235">
      <w:pPr>
        <w:tabs>
          <w:tab w:val="center" w:pos="5812"/>
        </w:tabs>
        <w:jc w:val="both"/>
        <w:rPr>
          <w:rFonts w:ascii="DilleniaUPC" w:hAnsi="DilleniaUPC" w:cs="DilleniaUPC"/>
          <w:sz w:val="30"/>
          <w:szCs w:val="30"/>
        </w:rPr>
      </w:pPr>
      <w:r w:rsidRPr="0081184D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:rsidR="00E94235" w:rsidRPr="0081184D" w:rsidRDefault="00E94235" w:rsidP="00E94235">
      <w:pPr>
        <w:pStyle w:val="BodyText"/>
        <w:tabs>
          <w:tab w:val="left" w:pos="567"/>
          <w:tab w:val="center" w:pos="5812"/>
        </w:tabs>
        <w:spacing w:after="0" w:line="340" w:lineRule="exact"/>
        <w:rPr>
          <w:rFonts w:ascii="DilleniaUPC" w:hAnsi="DilleniaUPC" w:cs="DilleniaUPC"/>
          <w:sz w:val="30"/>
          <w:szCs w:val="30"/>
        </w:rPr>
      </w:pPr>
      <w:r w:rsidRPr="0081184D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81184D">
        <w:rPr>
          <w:rFonts w:ascii="DilleniaUPC" w:hAnsi="DilleniaUPC" w:cs="DilleniaUPC"/>
          <w:sz w:val="30"/>
          <w:szCs w:val="30"/>
          <w:cs/>
        </w:rPr>
        <w:tab/>
      </w:r>
      <w:r w:rsidRPr="0081184D">
        <w:rPr>
          <w:rFonts w:ascii="DilleniaUPC" w:hAnsi="DilleniaUPC" w:cs="DilleniaUPC"/>
          <w:sz w:val="30"/>
          <w:szCs w:val="30"/>
          <w:cs/>
        </w:rPr>
        <w:tab/>
      </w:r>
      <w:r w:rsidRPr="0081184D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923183" w:rsidP="00923183">
      <w:pPr>
        <w:rPr>
          <w:rFonts w:ascii="DilleniaUPC" w:hAnsi="DilleniaUPC" w:cs="DilleniaUPC"/>
          <w:b/>
          <w:bCs/>
          <w:sz w:val="30"/>
          <w:szCs w:val="30"/>
        </w:rPr>
      </w:pPr>
    </w:p>
    <w:p w:rsidR="00923183" w:rsidRPr="0081184D" w:rsidRDefault="005858A4" w:rsidP="00A55D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DilleniaUPC" w:eastAsia="Calibri" w:hAnsi="DilleniaUPC" w:cs="DilleniaUPC"/>
          <w:b/>
          <w:bCs/>
          <w:sz w:val="30"/>
          <w:szCs w:val="30"/>
        </w:rPr>
      </w:pPr>
      <w:r>
        <w:rPr>
          <w:rFonts w:ascii="DilleniaUPC" w:eastAsia="Calibri" w:hAnsi="DilleniaUPC" w:cs="DilleniaUPC"/>
          <w:b/>
          <w:bCs/>
          <w:sz w:val="30"/>
          <w:szCs w:val="30"/>
          <w:cs/>
        </w:rPr>
        <w:br w:type="page"/>
      </w:r>
      <w:r w:rsidR="00923183" w:rsidRPr="00F873B0">
        <w:rPr>
          <w:rFonts w:ascii="DilleniaUPC" w:eastAsia="Calibri" w:hAnsi="DilleniaUPC" w:cs="DilleniaUPC"/>
          <w:b/>
          <w:bCs/>
          <w:sz w:val="32"/>
          <w:szCs w:val="32"/>
          <w:cs/>
        </w:rPr>
        <w:lastRenderedPageBreak/>
        <w:t>ต</w:t>
      </w:r>
      <w:r w:rsidR="00BE2C0C" w:rsidRPr="00F873B0">
        <w:rPr>
          <w:rFonts w:ascii="DilleniaUPC" w:eastAsia="Calibri" w:hAnsi="DilleniaUPC" w:cs="DilleniaUPC"/>
          <w:b/>
          <w:bCs/>
          <w:sz w:val="32"/>
          <w:szCs w:val="32"/>
          <w:cs/>
        </w:rPr>
        <w:t>ัวอย่างต่าง</w:t>
      </w:r>
      <w:r w:rsidR="00F873B0" w:rsidRPr="00F873B0">
        <w:rPr>
          <w:rFonts w:ascii="DilleniaUPC" w:eastAsia="Calibri" w:hAnsi="DilleniaUPC" w:cs="DilleniaUPC" w:hint="cs"/>
          <w:b/>
          <w:bCs/>
          <w:sz w:val="32"/>
          <w:szCs w:val="32"/>
          <w:cs/>
        </w:rPr>
        <w:t xml:space="preserve"> </w:t>
      </w:r>
      <w:r w:rsidR="00BE2C0C" w:rsidRPr="00F873B0">
        <w:rPr>
          <w:rFonts w:ascii="DilleniaUPC" w:eastAsia="Calibri" w:hAnsi="DilleniaUPC" w:cs="DilleniaUPC"/>
          <w:b/>
          <w:bCs/>
          <w:sz w:val="32"/>
          <w:szCs w:val="32"/>
          <w:cs/>
        </w:rPr>
        <w:t>ๆ</w:t>
      </w:r>
      <w:r w:rsidR="00F873B0" w:rsidRPr="00F873B0">
        <w:rPr>
          <w:rFonts w:ascii="DilleniaUPC" w:eastAsia="Calibri" w:hAnsi="DilleniaUPC" w:cs="DilleniaUPC" w:hint="cs"/>
          <w:b/>
          <w:bCs/>
          <w:sz w:val="32"/>
          <w:szCs w:val="32"/>
          <w:cs/>
        </w:rPr>
        <w:t xml:space="preserve"> </w:t>
      </w:r>
      <w:r w:rsidR="00BE2C0C" w:rsidRPr="00F873B0">
        <w:rPr>
          <w:rFonts w:ascii="DilleniaUPC" w:eastAsia="Calibri" w:hAnsi="DilleniaUPC" w:cs="DilleniaUPC"/>
          <w:b/>
          <w:bCs/>
          <w:sz w:val="32"/>
          <w:szCs w:val="32"/>
          <w:cs/>
        </w:rPr>
        <w:t>เกี่ยวกับเรื่องการก</w:t>
      </w:r>
      <w:r w:rsidR="00BE2C0C" w:rsidRPr="00F873B0">
        <w:rPr>
          <w:rFonts w:ascii="DilleniaUPC" w:eastAsia="Calibri" w:hAnsi="DilleniaUPC" w:cs="DilleniaUPC" w:hint="cs"/>
          <w:b/>
          <w:bCs/>
          <w:sz w:val="32"/>
          <w:szCs w:val="32"/>
          <w:cs/>
        </w:rPr>
        <w:t>ำ</w:t>
      </w:r>
      <w:r w:rsidR="00923183" w:rsidRPr="00F873B0">
        <w:rPr>
          <w:rFonts w:ascii="DilleniaUPC" w:eastAsia="Calibri" w:hAnsi="DilleniaUPC" w:cs="DilleniaUPC"/>
          <w:b/>
          <w:bCs/>
          <w:sz w:val="32"/>
          <w:szCs w:val="32"/>
          <w:cs/>
        </w:rPr>
        <w:t>หนดวงเงินซื้อขายหลักทรัพย์ของลูกค้า</w:t>
      </w:r>
    </w:p>
    <w:p w:rsidR="00923183" w:rsidRPr="00A55D6F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b/>
          <w:bCs/>
          <w:sz w:val="30"/>
          <w:szCs w:val="30"/>
          <w:u w:val="single"/>
        </w:rPr>
      </w:pP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ตัวอย่างที่แสดงถึงความไม่เหมาะสมในเอกสารหรือข้อมูลประกอบการพิจารณากำหนดวงเงินให้ลูกค้าตามข้อ </w:t>
      </w:r>
      <w:r w:rsidR="00FB4308" w:rsidRPr="00A55D6F">
        <w:rPr>
          <w:rFonts w:ascii="DilleniaUPC" w:eastAsia="Calibri" w:hAnsi="DilleniaUPC" w:cs="DilleniaUPC" w:hint="cs"/>
          <w:b/>
          <w:bCs/>
          <w:sz w:val="30"/>
          <w:szCs w:val="30"/>
          <w:u w:val="single"/>
          <w:cs/>
        </w:rPr>
        <w:t>4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1. ลูกค้าไม่มีเอกสารประกอบหรือรายละเอียดเกี่ยวกับการเป็นเจ้าของกิจการ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2. แหล่งรายได้ไม่ชัดเจนและไม่มีหลักฐานยืนยันข้อมูลที่ลูกค้าให้ เช่น ลูกค้าแจ้งว่าได้รับมรดก หรือได้รับรายได้หรือทรัพย์สินจากคู่สมรส แต่ไม่นำส่ง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Bank statement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เพื่อประกอบการพิจารณา หรือจำนวนเงินใน </w:t>
      </w:r>
      <w:r w:rsidR="00BE2C0C">
        <w:rPr>
          <w:rFonts w:ascii="DilleniaUPC" w:eastAsia="Calibri" w:hAnsi="DilleniaUPC" w:cs="DilleniaUPC"/>
          <w:sz w:val="30"/>
          <w:szCs w:val="30"/>
        </w:rPr>
        <w:t>B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ank statement </w:t>
      </w:r>
      <w:r w:rsidR="0009305C">
        <w:rPr>
          <w:rFonts w:ascii="DilleniaUPC" w:eastAsia="Calibri" w:hAnsi="DilleniaUPC" w:cs="DilleniaUPC" w:hint="cs"/>
          <w:sz w:val="30"/>
          <w:szCs w:val="30"/>
          <w:cs/>
        </w:rPr>
        <w:t xml:space="preserve">  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ไม่สะท้อนถึงมูลค่าที่แจ้งไว้</w:t>
      </w:r>
    </w:p>
    <w:p w:rsidR="00923183" w:rsidRPr="0081184D" w:rsidRDefault="00923183" w:rsidP="00BE2C0C">
      <w:pPr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3. ลูกค้าระบุว่ามีหุ้นใน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portfolio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แต่ไม่มีหลักฐานหรือมีหลักฐานที่ไม่สามารถใช้ยืนยันว่าลูกค้ามีหุ้นดังกล่าวจริง โดยตัวอย่างที่อาจแสดงได้ว่าลูกค้าเป็นเจ้าของหลักทรัพย์ใน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portfolio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ได้แก่ รายงานยอดคงเหลือทรัพย์สินของลูกค้า (</w:t>
      </w:r>
      <w:r w:rsidRPr="0081184D">
        <w:rPr>
          <w:rFonts w:ascii="DilleniaUPC" w:eastAsia="Calibri" w:hAnsi="DilleniaUPC" w:cs="DilleniaUPC"/>
          <w:sz w:val="30"/>
          <w:szCs w:val="30"/>
        </w:rPr>
        <w:t>statement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) ที่ลูกค้าได้จากสมาชิกอื่น เป็นต้น</w:t>
      </w:r>
    </w:p>
    <w:p w:rsidR="00923183" w:rsidRPr="00B52990" w:rsidRDefault="00923183" w:rsidP="00BE2C0C">
      <w:pPr>
        <w:jc w:val="thaiDistribute"/>
        <w:rPr>
          <w:rFonts w:ascii="DilleniaUPC" w:hAnsi="DilleniaUPC" w:cs="DilleniaUPC"/>
          <w:sz w:val="30"/>
          <w:szCs w:val="30"/>
        </w:rPr>
      </w:pPr>
      <w:r w:rsidRPr="00B52990">
        <w:rPr>
          <w:rFonts w:ascii="DilleniaUPC" w:eastAsia="Calibri" w:hAnsi="DilleniaUPC" w:cs="DilleniaUPC"/>
          <w:sz w:val="30"/>
          <w:szCs w:val="30"/>
          <w:cs/>
        </w:rPr>
        <w:t>4</w:t>
      </w:r>
      <w:r w:rsidR="00B52990" w:rsidRPr="00B52990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Pr="00B52990">
        <w:rPr>
          <w:rFonts w:ascii="DilleniaUPC" w:eastAsia="Calibri" w:hAnsi="DilleniaUPC" w:cs="DilleniaUPC"/>
          <w:sz w:val="30"/>
          <w:szCs w:val="30"/>
          <w:cs/>
        </w:rPr>
        <w:t xml:space="preserve"> ลูกค้าไม่มีหลักฐานประกอบแสดงแหล่งที่มาของรายได้ที่ชัดเจน เช่น รายการใน</w:t>
      </w:r>
      <w:r w:rsidRPr="00B52990">
        <w:rPr>
          <w:rFonts w:ascii="DilleniaUPC" w:eastAsia="Calibri" w:hAnsi="DilleniaUPC" w:cs="DilleniaUPC"/>
          <w:sz w:val="30"/>
          <w:szCs w:val="30"/>
        </w:rPr>
        <w:t xml:space="preserve"> statement </w:t>
      </w:r>
      <w:r w:rsidRPr="00B52990">
        <w:rPr>
          <w:rFonts w:ascii="DilleniaUPC" w:eastAsia="Calibri" w:hAnsi="DilleniaUPC" w:cs="DilleniaUPC"/>
          <w:sz w:val="30"/>
          <w:szCs w:val="30"/>
          <w:cs/>
        </w:rPr>
        <w:t>มีการเคลื่อนไหวของเงินในบัญชีหลักหมื่นบาท แต่แจ้งรายได้สูงถึงหลักแสนบาทต่อเดือน</w:t>
      </w:r>
    </w:p>
    <w:p w:rsidR="00923183" w:rsidRPr="00B52990" w:rsidRDefault="00923183" w:rsidP="00BE2C0C">
      <w:pPr>
        <w:jc w:val="thaiDistribute"/>
        <w:rPr>
          <w:rFonts w:ascii="DilleniaUPC" w:hAnsi="DilleniaUPC" w:cs="DilleniaUPC"/>
          <w:sz w:val="30"/>
          <w:szCs w:val="30"/>
        </w:rPr>
      </w:pPr>
      <w:r w:rsidRPr="00B52990">
        <w:rPr>
          <w:rFonts w:ascii="DilleniaUPC" w:eastAsia="Calibri" w:hAnsi="DilleniaUPC" w:cs="DilleniaUPC"/>
          <w:sz w:val="30"/>
          <w:szCs w:val="30"/>
          <w:cs/>
        </w:rPr>
        <w:t xml:space="preserve">5. การให้วงเงินแก่ลูกค้าจากยอดเงินฝากที่สูงสุดใน </w:t>
      </w:r>
      <w:r w:rsidRPr="00B52990">
        <w:rPr>
          <w:rFonts w:ascii="DilleniaUPC" w:eastAsia="Calibri" w:hAnsi="DilleniaUPC" w:cs="DilleniaUPC"/>
          <w:sz w:val="30"/>
          <w:szCs w:val="30"/>
        </w:rPr>
        <w:t xml:space="preserve">statement </w:t>
      </w:r>
      <w:r w:rsidRPr="00B52990">
        <w:rPr>
          <w:rFonts w:ascii="DilleniaUPC" w:eastAsia="Calibri" w:hAnsi="DilleniaUPC" w:cs="DilleniaUPC"/>
          <w:sz w:val="30"/>
          <w:szCs w:val="30"/>
          <w:cs/>
        </w:rPr>
        <w:t>โดยไม่พิจารณาข้อมูลที่ปรากฏในรายการอื่นๆ ประกอบ ซึ่งอาจไม่แสดงถึงความสามารถในการชำระหนี้ที่แท้จริง</w:t>
      </w:r>
    </w:p>
    <w:p w:rsidR="00923183" w:rsidRPr="0081184D" w:rsidRDefault="00923183" w:rsidP="00BE2C0C">
      <w:pPr>
        <w:jc w:val="thaiDistribute"/>
        <w:rPr>
          <w:rFonts w:ascii="DilleniaUPC" w:hAnsi="DilleniaUPC" w:cs="DilleniaUPC"/>
          <w:b/>
          <w:bCs/>
          <w:sz w:val="30"/>
          <w:szCs w:val="30"/>
        </w:rPr>
      </w:pPr>
      <w:r w:rsidRPr="00B52990">
        <w:rPr>
          <w:rFonts w:ascii="DilleniaUPC" w:eastAsia="Calibri" w:hAnsi="DilleniaUPC" w:cs="DilleniaUPC"/>
          <w:sz w:val="30"/>
          <w:szCs w:val="30"/>
          <w:cs/>
        </w:rPr>
        <w:t>6</w:t>
      </w:r>
      <w:r w:rsidR="00B52990" w:rsidRPr="00B52990">
        <w:rPr>
          <w:rFonts w:ascii="DilleniaUPC" w:eastAsia="Calibri" w:hAnsi="DilleniaUPC" w:cs="DilleniaUPC" w:hint="cs"/>
          <w:sz w:val="30"/>
          <w:szCs w:val="30"/>
          <w:cs/>
        </w:rPr>
        <w:t>.</w:t>
      </w:r>
      <w:r w:rsidRPr="00B52990">
        <w:rPr>
          <w:rFonts w:ascii="DilleniaUPC" w:eastAsia="Calibri" w:hAnsi="DilleniaUPC" w:cs="DilleniaUPC"/>
          <w:sz w:val="30"/>
          <w:szCs w:val="30"/>
          <w:cs/>
        </w:rPr>
        <w:t xml:space="preserve"> วิธี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การคำนวณจำนวนเงินฝากธนาคารเฉลี่ยย้อนหลัง 3 เดือน ไม่เหมาะสม เช่น การนำตัวเลขสูงสุด และต่ำสุดใน </w:t>
      </w:r>
      <w:r w:rsidR="00027B44">
        <w:rPr>
          <w:rFonts w:ascii="DilleniaUPC" w:eastAsia="Calibri" w:hAnsi="DilleniaUPC" w:cs="DilleniaUPC"/>
          <w:sz w:val="30"/>
          <w:szCs w:val="30"/>
        </w:rPr>
        <w:t>B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ank statement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มาหาค่าเฉลี่ย หรือ นำตัวเลขสูงสุดมาคูณ 2 เท่า โดยไม่ได้เฉลี่ย ทำให้การประเมินความสามารถในการชำระหนี้ของลูกค้าไม่สมเหตุสมผล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7. บัญชีเงินฝากธนาคารของลูกค้าที่ปรากฏข้อมูลย้อนหลังที่นำมาใช้พิจารณากำหนดวงเงินมีรายการไม่สมํ่าเสมอ โดยมียอดสูงสุดที่แตกต่างจากยอดอื่นอย่างก้าวกระโดดและไม่มีเหตุอันสมควร และบางกรณีมีการถอนยอดทั้งหมดหรือในจำนวนที่มีนัยสำคัญออกในวันถัดไปหรือทยอยถอนออกในระยะเวลาอันใกล้</w:t>
      </w:r>
    </w:p>
    <w:p w:rsidR="00923183" w:rsidRPr="00A55D6F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b/>
          <w:bCs/>
          <w:sz w:val="30"/>
          <w:szCs w:val="30"/>
          <w:u w:val="single"/>
        </w:rPr>
      </w:pP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ตัวอย่างกรณีที่บริษัทควรทบทวนวงเงินซื้อขายหลักทรัพย์ของลูกค้าและรวมถึงทบทวนการทำ </w:t>
      </w: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KYC</w:t>
      </w: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>/</w:t>
      </w: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CDD</w:t>
      </w:r>
      <w:r w:rsidR="00BE2C0C"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 </w:t>
      </w:r>
      <w:r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  <w:cs/>
        </w:rPr>
        <w:t xml:space="preserve">ตามข้อ </w:t>
      </w:r>
      <w:r w:rsidR="008317B3" w:rsidRPr="00A55D6F">
        <w:rPr>
          <w:rFonts w:ascii="DilleniaUPC" w:eastAsia="Calibri" w:hAnsi="DilleniaUPC" w:cs="DilleniaUPC"/>
          <w:b/>
          <w:bCs/>
          <w:sz w:val="30"/>
          <w:szCs w:val="30"/>
          <w:u w:val="single"/>
        </w:rPr>
        <w:t>4</w:t>
      </w:r>
      <w:r w:rsidR="00315EDF">
        <w:rPr>
          <w:rFonts w:ascii="DilleniaUPC" w:eastAsia="Calibri" w:hAnsi="DilleniaUPC" w:cs="DilleniaUPC" w:hint="cs"/>
          <w:b/>
          <w:bCs/>
          <w:sz w:val="30"/>
          <w:szCs w:val="30"/>
          <w:u w:val="single"/>
          <w:cs/>
        </w:rPr>
        <w:t xml:space="preserve"> และ ข้อ 6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1. ลูกค้าโอนเงินหรือหลักทรัพย์เข้าบัญชีเพื่อเพิ่มวงเงิน และมีการโอนเงินหรือหลักทรัพย์ดังกล่าวออกไปยังบัญชีของตนเอง หรือบุคคลอื่นที่บริษัทแห่งอื่นซึ่งอาจหมายถึงลูกค้ามีการใช้หลักทรัพย์เดิมเวียนเป็นหลักประกันเพิ่มวงเงินอีกหลายบริษัท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2. มีการขอเพิ่มวงเงินเพิ่มจำนวนมากในระยะเวลาอันสั้น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3. ลูกค้ามีการเปลี่ยนแปลงที่อยู่ในการรับเอกสาร เปลี่ยน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email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ในการติดต่อ เปลี่ยนลายเซ็นหลังเริ่มซื้อขายไม่นาน หรือมีการเปลี่ยนแปลงที่อยู่มากกว่า 1 ครั้งในระยะเวลาใกล้เคียง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4. ลูกค้าหลายรายมีการใช้ที่อยู่ติดต่อหรือ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email address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หรือ 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IP address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เดียวกัน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5. ลูกค้าที่ตลาดหลักทรัพย์แห่งประเทศไทย หรือหน่วยงานกำกับดูแลที่เกี่ยวข้องมีข้อสังเกต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6. ลูกค้าที่มีการส่งคำสั่งซื้อขายที่อาจไม่เหมาะสมตามเกณฑ์ที่ตลาดหลักทรัพย์แห่งประเทศไทยกำหนด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 xml:space="preserve">7. ลูกค้าที่ซื้อขายหลักทรัพย์ที่เข้าเกณฑ์ </w:t>
      </w:r>
      <w:r w:rsidR="00287093">
        <w:rPr>
          <w:rFonts w:ascii="DilleniaUPC" w:eastAsia="Calibri" w:hAnsi="DilleniaUPC" w:cs="DilleniaUPC"/>
          <w:sz w:val="30"/>
          <w:szCs w:val="30"/>
        </w:rPr>
        <w:t>Cash B</w:t>
      </w:r>
      <w:r w:rsidRPr="0081184D">
        <w:rPr>
          <w:rFonts w:ascii="DilleniaUPC" w:eastAsia="Calibri" w:hAnsi="DilleniaUPC" w:cs="DilleniaUPC"/>
          <w:sz w:val="30"/>
          <w:szCs w:val="30"/>
        </w:rPr>
        <w:t xml:space="preserve">alance 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จำนวนมากเมื่อเทียบกับการซื้อขายรวมของลูกค้า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8. ลูกค้ามีการโอนหลักทรัพย์จากบัญชีไปยังบุคคลอื่นในจำนวนครั้งและปริมาณที่เกินความเหมาะสม</w:t>
      </w:r>
    </w:p>
    <w:p w:rsidR="00923183" w:rsidRPr="0081184D" w:rsidRDefault="00923183" w:rsidP="00BE2C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9. ลูกค้ามีการโอนเงินเข้าออกถี่ และลูกค้ามีเลขที่บัญชีในการรับโอนหลายบัญชี</w:t>
      </w:r>
    </w:p>
    <w:p w:rsidR="00923183" w:rsidRPr="0081184D" w:rsidRDefault="00923183" w:rsidP="00907FE7">
      <w:pPr>
        <w:tabs>
          <w:tab w:val="left" w:pos="-720"/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thaiDistribute"/>
        <w:rPr>
          <w:rFonts w:ascii="DilleniaUPC" w:eastAsia="Calibri" w:hAnsi="DilleniaUPC" w:cs="DilleniaUPC"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10</w:t>
      </w:r>
      <w:r w:rsidR="00907FE7">
        <w:rPr>
          <w:rFonts w:ascii="DilleniaUPC" w:eastAsia="Calibri" w:hAnsi="DilleniaUPC" w:cs="DilleniaUPC"/>
          <w:sz w:val="30"/>
          <w:szCs w:val="30"/>
          <w:cs/>
        </w:rPr>
        <w:t>.</w:t>
      </w:r>
      <w:r w:rsidR="00907FE7">
        <w:rPr>
          <w:rFonts w:ascii="DilleniaUPC" w:eastAsia="Calibri" w:hAnsi="DilleniaUPC" w:cs="DilleniaUPC"/>
          <w:sz w:val="30"/>
          <w:szCs w:val="30"/>
        </w:rPr>
        <w:tab/>
      </w:r>
      <w:r w:rsidRPr="0081184D">
        <w:rPr>
          <w:rFonts w:ascii="DilleniaUPC" w:eastAsia="Calibri" w:hAnsi="DilleniaUPC" w:cs="DilleniaUPC"/>
          <w:sz w:val="30"/>
          <w:szCs w:val="30"/>
          <w:cs/>
        </w:rPr>
        <w:t>ลูกค้าที่มีเอกสาร เช่น ใบยืนยันซื้อขายหลักทรัพย์ รายการแสดงทรัพย์สิน ตีคืนกลับเป็นประจำบ่อยครั้ง โดยไม่สามารถหาสาเหตุหรือติดต่อลูกค้าได้</w:t>
      </w:r>
    </w:p>
    <w:p w:rsidR="0011539E" w:rsidRPr="0081184D" w:rsidRDefault="00923183" w:rsidP="009F696D">
      <w:pPr>
        <w:rPr>
          <w:rFonts w:ascii="DilleniaUPC" w:hAnsi="DilleniaUPC" w:cs="DilleniaUPC"/>
          <w:b/>
          <w:bCs/>
          <w:sz w:val="30"/>
          <w:szCs w:val="30"/>
        </w:rPr>
      </w:pPr>
      <w:r w:rsidRPr="0081184D">
        <w:rPr>
          <w:rFonts w:ascii="DilleniaUPC" w:eastAsia="Calibri" w:hAnsi="DilleniaUPC" w:cs="DilleniaUPC"/>
          <w:sz w:val="30"/>
          <w:szCs w:val="30"/>
          <w:cs/>
        </w:rPr>
        <w:t>11. ลูกค้าที่มีรายการที่อาจเข้าข่ายธุรกรรมต้องสงสัย (</w:t>
      </w:r>
      <w:r w:rsidRPr="0081184D">
        <w:rPr>
          <w:rFonts w:ascii="DilleniaUPC" w:eastAsia="Calibri" w:hAnsi="DilleniaUPC" w:cs="DilleniaUPC"/>
          <w:sz w:val="30"/>
          <w:szCs w:val="30"/>
        </w:rPr>
        <w:t>STR</w:t>
      </w:r>
      <w:r w:rsidRPr="0081184D">
        <w:rPr>
          <w:rFonts w:ascii="DilleniaUPC" w:eastAsia="Calibri" w:hAnsi="DilleniaUPC" w:cs="DilleniaUPC"/>
          <w:sz w:val="30"/>
          <w:szCs w:val="30"/>
          <w:cs/>
        </w:rPr>
        <w:t>)</w:t>
      </w:r>
    </w:p>
    <w:sectPr w:rsidR="0011539E" w:rsidRPr="0081184D" w:rsidSect="00E37D7D">
      <w:headerReference w:type="default" r:id="rId8"/>
      <w:footerReference w:type="default" r:id="rId9"/>
      <w:pgSz w:w="11906" w:h="16838"/>
      <w:pgMar w:top="1134" w:right="1469" w:bottom="1418" w:left="1797" w:header="720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61" w:rsidRDefault="003C5C61" w:rsidP="00A87D06">
      <w:r>
        <w:separator/>
      </w:r>
    </w:p>
  </w:endnote>
  <w:endnote w:type="continuationSeparator" w:id="0">
    <w:p w:rsidR="003C5C61" w:rsidRDefault="003C5C61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72" w:rsidRPr="00E87C51" w:rsidRDefault="00630072" w:rsidP="0047748A">
    <w:pPr>
      <w:pStyle w:val="Footer"/>
      <w:ind w:right="-483"/>
      <w:jc w:val="right"/>
      <w:rPr>
        <w:rFonts w:ascii="BrowalliaUPC" w:hAnsi="BrowalliaUPC" w:cs="BrowalliaUPC"/>
        <w:b/>
        <w:bCs/>
        <w:sz w:val="20"/>
        <w:szCs w:val="20"/>
      </w:rPr>
    </w:pPr>
    <w:r w:rsidRPr="00E87C51">
      <w:rPr>
        <w:rFonts w:ascii="BrowalliaUPC" w:hAnsi="BrowalliaUPC" w:cs="BrowalliaUPC" w:hint="cs"/>
        <w:b/>
        <w:bCs/>
        <w:sz w:val="20"/>
        <w:szCs w:val="20"/>
        <w:cs/>
      </w:rPr>
      <w:t>การ</w:t>
    </w:r>
    <w:r>
      <w:rPr>
        <w:rFonts w:ascii="BrowalliaUPC" w:hAnsi="BrowalliaUPC" w:cs="BrowalliaUPC" w:hint="cs"/>
        <w:b/>
        <w:bCs/>
        <w:sz w:val="20"/>
        <w:szCs w:val="20"/>
        <w:cs/>
      </w:rPr>
      <w:t>พิจารณากำหนดวงเงิน</w:t>
    </w:r>
    <w:r w:rsidRPr="00E87C51">
      <w:rPr>
        <w:rFonts w:ascii="BrowalliaUPC" w:hAnsi="BrowalliaUPC" w:cs="BrowalliaUPC" w:hint="cs"/>
        <w:b/>
        <w:bCs/>
        <w:sz w:val="20"/>
        <w:szCs w:val="20"/>
        <w:cs/>
      </w:rPr>
      <w:t>ซื้อขายหลักทรัพย์</w:t>
    </w:r>
    <w:r>
      <w:rPr>
        <w:rFonts w:ascii="BrowalliaUPC" w:hAnsi="BrowalliaUPC" w:cs="BrowalliaUPC" w:hint="cs"/>
        <w:b/>
        <w:bCs/>
        <w:sz w:val="20"/>
        <w:szCs w:val="20"/>
        <w:cs/>
      </w:rPr>
      <w:t>ของลูกค้า</w:t>
    </w:r>
  </w:p>
  <w:p w:rsidR="00630072" w:rsidRDefault="00630072" w:rsidP="0047748A">
    <w:pPr>
      <w:pStyle w:val="Footer"/>
      <w:ind w:right="-483"/>
      <w:jc w:val="right"/>
    </w:pPr>
    <w:r w:rsidRPr="0047748A">
      <w:rPr>
        <w:rFonts w:ascii="BrowalliaUPC" w:hAnsi="BrowalliaUPC" w:cs="BrowalliaUPC"/>
        <w:sz w:val="20"/>
        <w:szCs w:val="20"/>
        <w:cs/>
      </w:rPr>
      <w:t xml:space="preserve">หน้า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3764D6">
      <w:rPr>
        <w:rFonts w:ascii="BrowalliaUPC" w:hAnsi="BrowalliaUPC" w:cs="BrowalliaUPC"/>
        <w:b/>
        <w:bCs/>
        <w:noProof/>
        <w:sz w:val="20"/>
        <w:szCs w:val="20"/>
      </w:rPr>
      <w:t>3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  <w:cs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3764D6">
      <w:rPr>
        <w:rFonts w:ascii="BrowalliaUPC" w:hAnsi="BrowalliaUPC" w:cs="BrowalliaUPC"/>
        <w:b/>
        <w:bCs/>
        <w:noProof/>
        <w:sz w:val="20"/>
        <w:szCs w:val="20"/>
      </w:rPr>
      <w:t>6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630072" w:rsidRDefault="00630072" w:rsidP="0047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61" w:rsidRDefault="003C5C61" w:rsidP="00A87D06">
      <w:r>
        <w:separator/>
      </w:r>
    </w:p>
  </w:footnote>
  <w:footnote w:type="continuationSeparator" w:id="0">
    <w:p w:rsidR="003C5C61" w:rsidRDefault="003C5C61" w:rsidP="00A87D06">
      <w:r>
        <w:continuationSeparator/>
      </w:r>
    </w:p>
  </w:footnote>
  <w:footnote w:id="1">
    <w:p w:rsidR="008D3B34" w:rsidRPr="008D3B34" w:rsidRDefault="008D3B34" w:rsidP="008D3B34">
      <w:pPr>
        <w:pStyle w:val="FootnoteText"/>
        <w:rPr>
          <w:rFonts w:ascii="DilleniaUPC" w:hAnsi="DilleniaUPC" w:cs="DilleniaUPC"/>
          <w:sz w:val="24"/>
          <w:szCs w:val="24"/>
        </w:rPr>
      </w:pPr>
      <w:r w:rsidRPr="008D3B34">
        <w:rPr>
          <w:rStyle w:val="FootnoteReference"/>
          <w:rFonts w:ascii="DilleniaUPC" w:hAnsi="DilleniaUPC" w:cs="DilleniaUPC"/>
          <w:sz w:val="30"/>
          <w:szCs w:val="30"/>
        </w:rPr>
        <w:t>1</w:t>
      </w:r>
      <w:r w:rsidRPr="008D3B34">
        <w:rPr>
          <w:rFonts w:ascii="DilleniaUPC" w:hAnsi="DilleniaUPC" w:cs="DilleniaUPC"/>
          <w:szCs w:val="20"/>
          <w:cs/>
        </w:rPr>
        <w:t xml:space="preserve"> </w:t>
      </w:r>
      <w:r w:rsidRPr="008D3B34">
        <w:rPr>
          <w:rFonts w:ascii="DilleniaUPC" w:hAnsi="DilleniaUPC" w:cs="DilleniaUPC"/>
          <w:sz w:val="24"/>
          <w:szCs w:val="24"/>
          <w:cs/>
        </w:rPr>
        <w:t>แก้ไขเพิ่มเติมโดย</w:t>
      </w:r>
      <w:r w:rsidRPr="008D3B34">
        <w:rPr>
          <w:rFonts w:ascii="DilleniaUPC" w:hAnsi="DilleniaUPC" w:cs="DilleniaUPC" w:hint="cs"/>
          <w:sz w:val="24"/>
          <w:szCs w:val="24"/>
          <w:cs/>
        </w:rPr>
        <w:t>แนวทางการปฏิบัติงาน เรื่อง</w:t>
      </w:r>
      <w:r w:rsidRPr="008D3B34">
        <w:rPr>
          <w:rFonts w:ascii="DilleniaUPC" w:hAnsi="DilleniaUPC" w:cs="DilleniaUPC"/>
          <w:sz w:val="24"/>
          <w:szCs w:val="24"/>
          <w:cs/>
        </w:rPr>
        <w:t xml:space="preserve"> </w:t>
      </w:r>
      <w:r w:rsidRPr="008D3B34">
        <w:rPr>
          <w:rFonts w:ascii="DilleniaUPC" w:hAnsi="DilleniaUPC" w:cs="DilleniaUPC" w:hint="cs"/>
          <w:sz w:val="24"/>
          <w:szCs w:val="24"/>
          <w:cs/>
        </w:rPr>
        <w:t>การพิจารณากำหนดวงเงินซื้อขายหลักทรัพย์ของลูกค้า</w:t>
      </w:r>
      <w:r w:rsidRPr="008D3B34">
        <w:rPr>
          <w:rFonts w:ascii="DilleniaUPC" w:hAnsi="DilleniaUPC" w:cs="DilleniaUPC"/>
          <w:sz w:val="24"/>
          <w:szCs w:val="24"/>
          <w:cs/>
        </w:rPr>
        <w:t xml:space="preserve"> (</w:t>
      </w:r>
      <w:r w:rsidRPr="008D3B34">
        <w:rPr>
          <w:rFonts w:ascii="DilleniaUPC" w:hAnsi="DilleniaUPC" w:cs="DilleniaUPC" w:hint="cs"/>
          <w:sz w:val="24"/>
          <w:szCs w:val="24"/>
          <w:cs/>
        </w:rPr>
        <w:t>ฉบับที่</w:t>
      </w:r>
      <w:r w:rsidRPr="008D3B34">
        <w:rPr>
          <w:rFonts w:ascii="DilleniaUPC" w:hAnsi="DilleniaUPC" w:cs="DilleniaUPC"/>
          <w:sz w:val="24"/>
          <w:szCs w:val="24"/>
          <w:cs/>
        </w:rPr>
        <w:t xml:space="preserve"> 2)</w:t>
      </w:r>
      <w:r w:rsidRPr="008D3B34">
        <w:rPr>
          <w:rFonts w:ascii="DilleniaUPC" w:hAnsi="DilleniaUPC" w:cs="DilleniaUPC" w:hint="cs"/>
          <w:sz w:val="24"/>
          <w:szCs w:val="24"/>
          <w:cs/>
        </w:rPr>
        <w:t xml:space="preserve"> ลงวันที่ </w:t>
      </w:r>
      <w:r w:rsidR="003764D6" w:rsidRPr="003764D6">
        <w:rPr>
          <w:rFonts w:ascii="DilleniaUPC" w:hAnsi="DilleniaUPC" w:cs="DilleniaUPC"/>
          <w:sz w:val="24"/>
          <w:szCs w:val="24"/>
        </w:rPr>
        <w:t>18</w:t>
      </w:r>
      <w:r w:rsidRPr="008D3B34">
        <w:rPr>
          <w:rFonts w:ascii="DilleniaUPC" w:hAnsi="DilleniaUPC" w:cs="DilleniaUPC" w:hint="cs"/>
          <w:sz w:val="24"/>
          <w:szCs w:val="24"/>
          <w:cs/>
        </w:rPr>
        <w:t xml:space="preserve"> กุมภาพันธ์ </w:t>
      </w:r>
      <w:r w:rsidRPr="008D3B34">
        <w:rPr>
          <w:rFonts w:ascii="DilleniaUPC" w:hAnsi="DilleniaUPC" w:cs="DilleniaUPC"/>
          <w:sz w:val="24"/>
          <w:szCs w:val="24"/>
        </w:rPr>
        <w:t>2564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72" w:rsidRPr="009164CF" w:rsidRDefault="00630072" w:rsidP="009164CF">
    <w:pPr>
      <w:pStyle w:val="Header"/>
      <w:jc w:val="center"/>
      <w:rPr>
        <w:rFonts w:ascii="DilleniaUPC" w:hAnsi="DilleniaUPC" w:cs="DilleniaUPC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A91CD7"/>
    <w:multiLevelType w:val="hybridMultilevel"/>
    <w:tmpl w:val="146023C6"/>
    <w:lvl w:ilvl="0" w:tplc="B5309C5E">
      <w:start w:val="1"/>
      <w:numFmt w:val="thaiLetters"/>
      <w:lvlText w:val="(%1)"/>
      <w:lvlJc w:val="left"/>
      <w:pPr>
        <w:ind w:left="1964" w:hanging="360"/>
      </w:pPr>
      <w:rPr>
        <w:rFonts w:cs="Cordia New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84" w:hanging="360"/>
      </w:pPr>
    </w:lvl>
    <w:lvl w:ilvl="2" w:tplc="0409001B" w:tentative="1">
      <w:start w:val="1"/>
      <w:numFmt w:val="lowerRoman"/>
      <w:lvlText w:val="%3."/>
      <w:lvlJc w:val="right"/>
      <w:pPr>
        <w:ind w:left="3404" w:hanging="180"/>
      </w:pPr>
    </w:lvl>
    <w:lvl w:ilvl="3" w:tplc="0409000F" w:tentative="1">
      <w:start w:val="1"/>
      <w:numFmt w:val="decimal"/>
      <w:lvlText w:val="%4."/>
      <w:lvlJc w:val="left"/>
      <w:pPr>
        <w:ind w:left="4124" w:hanging="360"/>
      </w:pPr>
    </w:lvl>
    <w:lvl w:ilvl="4" w:tplc="04090019" w:tentative="1">
      <w:start w:val="1"/>
      <w:numFmt w:val="lowerLetter"/>
      <w:lvlText w:val="%5."/>
      <w:lvlJc w:val="left"/>
      <w:pPr>
        <w:ind w:left="4844" w:hanging="360"/>
      </w:pPr>
    </w:lvl>
    <w:lvl w:ilvl="5" w:tplc="0409001B" w:tentative="1">
      <w:start w:val="1"/>
      <w:numFmt w:val="lowerRoman"/>
      <w:lvlText w:val="%6."/>
      <w:lvlJc w:val="right"/>
      <w:pPr>
        <w:ind w:left="5564" w:hanging="180"/>
      </w:pPr>
    </w:lvl>
    <w:lvl w:ilvl="6" w:tplc="0409000F" w:tentative="1">
      <w:start w:val="1"/>
      <w:numFmt w:val="decimal"/>
      <w:lvlText w:val="%7."/>
      <w:lvlJc w:val="left"/>
      <w:pPr>
        <w:ind w:left="6284" w:hanging="360"/>
      </w:pPr>
    </w:lvl>
    <w:lvl w:ilvl="7" w:tplc="04090019" w:tentative="1">
      <w:start w:val="1"/>
      <w:numFmt w:val="lowerLetter"/>
      <w:lvlText w:val="%8."/>
      <w:lvlJc w:val="left"/>
      <w:pPr>
        <w:ind w:left="7004" w:hanging="360"/>
      </w:pPr>
    </w:lvl>
    <w:lvl w:ilvl="8" w:tplc="040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5E8"/>
    <w:rsid w:val="000040E3"/>
    <w:rsid w:val="00027B44"/>
    <w:rsid w:val="0003621D"/>
    <w:rsid w:val="000363B8"/>
    <w:rsid w:val="00060532"/>
    <w:rsid w:val="00061564"/>
    <w:rsid w:val="0009305C"/>
    <w:rsid w:val="00095712"/>
    <w:rsid w:val="000A51D0"/>
    <w:rsid w:val="000F78FE"/>
    <w:rsid w:val="00101C43"/>
    <w:rsid w:val="0011539E"/>
    <w:rsid w:val="00125CBF"/>
    <w:rsid w:val="0012614A"/>
    <w:rsid w:val="001669FB"/>
    <w:rsid w:val="0017238C"/>
    <w:rsid w:val="00177202"/>
    <w:rsid w:val="00190955"/>
    <w:rsid w:val="001A6D1A"/>
    <w:rsid w:val="001B59C2"/>
    <w:rsid w:val="001B7E14"/>
    <w:rsid w:val="001C19A0"/>
    <w:rsid w:val="001C4151"/>
    <w:rsid w:val="001D31C4"/>
    <w:rsid w:val="001D34EA"/>
    <w:rsid w:val="001E0341"/>
    <w:rsid w:val="001E0792"/>
    <w:rsid w:val="001E75B6"/>
    <w:rsid w:val="00236194"/>
    <w:rsid w:val="0024206C"/>
    <w:rsid w:val="002447C6"/>
    <w:rsid w:val="00260327"/>
    <w:rsid w:val="002659D4"/>
    <w:rsid w:val="00287093"/>
    <w:rsid w:val="002D3CE3"/>
    <w:rsid w:val="002F1ADB"/>
    <w:rsid w:val="002F1FB1"/>
    <w:rsid w:val="002F7957"/>
    <w:rsid w:val="00302175"/>
    <w:rsid w:val="00303E7D"/>
    <w:rsid w:val="00315EDF"/>
    <w:rsid w:val="00317693"/>
    <w:rsid w:val="003303AE"/>
    <w:rsid w:val="003337CB"/>
    <w:rsid w:val="003467AE"/>
    <w:rsid w:val="00356B61"/>
    <w:rsid w:val="00357DA9"/>
    <w:rsid w:val="00361FA6"/>
    <w:rsid w:val="00366D91"/>
    <w:rsid w:val="003764D6"/>
    <w:rsid w:val="00386C64"/>
    <w:rsid w:val="003935FA"/>
    <w:rsid w:val="003B0254"/>
    <w:rsid w:val="003C5530"/>
    <w:rsid w:val="003C5BEC"/>
    <w:rsid w:val="003C5C61"/>
    <w:rsid w:val="003C5F74"/>
    <w:rsid w:val="00404DE0"/>
    <w:rsid w:val="00417CF2"/>
    <w:rsid w:val="00420AAC"/>
    <w:rsid w:val="00426157"/>
    <w:rsid w:val="004306CB"/>
    <w:rsid w:val="00431AAE"/>
    <w:rsid w:val="0044658A"/>
    <w:rsid w:val="00453DBC"/>
    <w:rsid w:val="004613DE"/>
    <w:rsid w:val="0046755F"/>
    <w:rsid w:val="0047748A"/>
    <w:rsid w:val="00482A39"/>
    <w:rsid w:val="004846CB"/>
    <w:rsid w:val="00493EB2"/>
    <w:rsid w:val="00494691"/>
    <w:rsid w:val="004B4D53"/>
    <w:rsid w:val="004C4357"/>
    <w:rsid w:val="004D4241"/>
    <w:rsid w:val="004D4BAF"/>
    <w:rsid w:val="004F6C07"/>
    <w:rsid w:val="005175CD"/>
    <w:rsid w:val="005373FE"/>
    <w:rsid w:val="00546830"/>
    <w:rsid w:val="00550282"/>
    <w:rsid w:val="005571B8"/>
    <w:rsid w:val="00574649"/>
    <w:rsid w:val="00581080"/>
    <w:rsid w:val="005858A4"/>
    <w:rsid w:val="005901B7"/>
    <w:rsid w:val="005953A8"/>
    <w:rsid w:val="005B761A"/>
    <w:rsid w:val="00607C48"/>
    <w:rsid w:val="006133AF"/>
    <w:rsid w:val="00630072"/>
    <w:rsid w:val="00631E8B"/>
    <w:rsid w:val="006327FC"/>
    <w:rsid w:val="00643429"/>
    <w:rsid w:val="00663162"/>
    <w:rsid w:val="006661F1"/>
    <w:rsid w:val="00673600"/>
    <w:rsid w:val="0068507E"/>
    <w:rsid w:val="006913EB"/>
    <w:rsid w:val="006A42E3"/>
    <w:rsid w:val="006A69E2"/>
    <w:rsid w:val="006B203F"/>
    <w:rsid w:val="006B352C"/>
    <w:rsid w:val="006C762D"/>
    <w:rsid w:val="006D7555"/>
    <w:rsid w:val="006E3885"/>
    <w:rsid w:val="006E66B7"/>
    <w:rsid w:val="006F7B9B"/>
    <w:rsid w:val="0071174C"/>
    <w:rsid w:val="00712F66"/>
    <w:rsid w:val="00714269"/>
    <w:rsid w:val="00737FA3"/>
    <w:rsid w:val="007501DD"/>
    <w:rsid w:val="00751BE8"/>
    <w:rsid w:val="00762395"/>
    <w:rsid w:val="00765461"/>
    <w:rsid w:val="0077198A"/>
    <w:rsid w:val="00772FC8"/>
    <w:rsid w:val="00780B66"/>
    <w:rsid w:val="00793850"/>
    <w:rsid w:val="007A4100"/>
    <w:rsid w:val="007A5B52"/>
    <w:rsid w:val="007C22C3"/>
    <w:rsid w:val="007C2ED0"/>
    <w:rsid w:val="007F7E56"/>
    <w:rsid w:val="008067C7"/>
    <w:rsid w:val="0080750D"/>
    <w:rsid w:val="0081184D"/>
    <w:rsid w:val="008317B3"/>
    <w:rsid w:val="008353E3"/>
    <w:rsid w:val="0083624C"/>
    <w:rsid w:val="0083654A"/>
    <w:rsid w:val="008533E5"/>
    <w:rsid w:val="0087205E"/>
    <w:rsid w:val="008908A1"/>
    <w:rsid w:val="0089719D"/>
    <w:rsid w:val="008B2081"/>
    <w:rsid w:val="008B6B0D"/>
    <w:rsid w:val="008D2194"/>
    <w:rsid w:val="008D3B34"/>
    <w:rsid w:val="008D56A1"/>
    <w:rsid w:val="008F3DC4"/>
    <w:rsid w:val="00907FE7"/>
    <w:rsid w:val="009164CF"/>
    <w:rsid w:val="00923183"/>
    <w:rsid w:val="00927C32"/>
    <w:rsid w:val="00930409"/>
    <w:rsid w:val="00935813"/>
    <w:rsid w:val="00956915"/>
    <w:rsid w:val="00957E5E"/>
    <w:rsid w:val="00971E21"/>
    <w:rsid w:val="009838EF"/>
    <w:rsid w:val="009852EE"/>
    <w:rsid w:val="00986891"/>
    <w:rsid w:val="009B2ABE"/>
    <w:rsid w:val="009B47FA"/>
    <w:rsid w:val="009C119C"/>
    <w:rsid w:val="009D08C0"/>
    <w:rsid w:val="009E1D93"/>
    <w:rsid w:val="009F3112"/>
    <w:rsid w:val="009F6832"/>
    <w:rsid w:val="009F696D"/>
    <w:rsid w:val="00A07D33"/>
    <w:rsid w:val="00A10FF9"/>
    <w:rsid w:val="00A12389"/>
    <w:rsid w:val="00A35B5E"/>
    <w:rsid w:val="00A3728C"/>
    <w:rsid w:val="00A47AB8"/>
    <w:rsid w:val="00A55A04"/>
    <w:rsid w:val="00A55D6F"/>
    <w:rsid w:val="00A72827"/>
    <w:rsid w:val="00A87D06"/>
    <w:rsid w:val="00AD5C36"/>
    <w:rsid w:val="00AD5C80"/>
    <w:rsid w:val="00AE1A64"/>
    <w:rsid w:val="00AE7138"/>
    <w:rsid w:val="00AF3106"/>
    <w:rsid w:val="00B02C2F"/>
    <w:rsid w:val="00B23A07"/>
    <w:rsid w:val="00B277B2"/>
    <w:rsid w:val="00B52990"/>
    <w:rsid w:val="00B603F4"/>
    <w:rsid w:val="00B61B2C"/>
    <w:rsid w:val="00B73430"/>
    <w:rsid w:val="00B75A2D"/>
    <w:rsid w:val="00B84073"/>
    <w:rsid w:val="00B84B18"/>
    <w:rsid w:val="00B87A56"/>
    <w:rsid w:val="00B956D4"/>
    <w:rsid w:val="00BA0459"/>
    <w:rsid w:val="00BB110F"/>
    <w:rsid w:val="00BB6ECB"/>
    <w:rsid w:val="00BD42F3"/>
    <w:rsid w:val="00BD5EB2"/>
    <w:rsid w:val="00BE2C0C"/>
    <w:rsid w:val="00C02447"/>
    <w:rsid w:val="00C4197D"/>
    <w:rsid w:val="00C41C65"/>
    <w:rsid w:val="00C461A4"/>
    <w:rsid w:val="00C506EA"/>
    <w:rsid w:val="00C55CC1"/>
    <w:rsid w:val="00C647CA"/>
    <w:rsid w:val="00CA2355"/>
    <w:rsid w:val="00CB1EA1"/>
    <w:rsid w:val="00CB3D0A"/>
    <w:rsid w:val="00CC2347"/>
    <w:rsid w:val="00CD3CB8"/>
    <w:rsid w:val="00CD7239"/>
    <w:rsid w:val="00CD7B79"/>
    <w:rsid w:val="00CE4E28"/>
    <w:rsid w:val="00CF2F5C"/>
    <w:rsid w:val="00D236F7"/>
    <w:rsid w:val="00D34581"/>
    <w:rsid w:val="00D60CAE"/>
    <w:rsid w:val="00D6679A"/>
    <w:rsid w:val="00D677F0"/>
    <w:rsid w:val="00D763F9"/>
    <w:rsid w:val="00D80A4B"/>
    <w:rsid w:val="00D922CE"/>
    <w:rsid w:val="00DB1F37"/>
    <w:rsid w:val="00DB5513"/>
    <w:rsid w:val="00DD06CF"/>
    <w:rsid w:val="00DF1197"/>
    <w:rsid w:val="00DF1922"/>
    <w:rsid w:val="00E20ED9"/>
    <w:rsid w:val="00E21D1A"/>
    <w:rsid w:val="00E2440E"/>
    <w:rsid w:val="00E34490"/>
    <w:rsid w:val="00E3774C"/>
    <w:rsid w:val="00E37D7D"/>
    <w:rsid w:val="00E45724"/>
    <w:rsid w:val="00E65B2E"/>
    <w:rsid w:val="00E65D4B"/>
    <w:rsid w:val="00E87C51"/>
    <w:rsid w:val="00E93AF3"/>
    <w:rsid w:val="00E94235"/>
    <w:rsid w:val="00EA71C5"/>
    <w:rsid w:val="00EC18C4"/>
    <w:rsid w:val="00ED51A8"/>
    <w:rsid w:val="00ED5A5A"/>
    <w:rsid w:val="00F04963"/>
    <w:rsid w:val="00F16E4A"/>
    <w:rsid w:val="00F50F4E"/>
    <w:rsid w:val="00F51A24"/>
    <w:rsid w:val="00F6149D"/>
    <w:rsid w:val="00F72021"/>
    <w:rsid w:val="00F84301"/>
    <w:rsid w:val="00F84669"/>
    <w:rsid w:val="00F873B0"/>
    <w:rsid w:val="00FB4308"/>
    <w:rsid w:val="00FC3CA2"/>
    <w:rsid w:val="00FE3442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AD4F9"/>
  <w15:docId w15:val="{1A8E3D92-66F6-4685-9BB7-B684145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customStyle="1" w:styleId="Default">
    <w:name w:val="Default"/>
    <w:rsid w:val="00923183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18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D3B3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D3B34"/>
    <w:rPr>
      <w:szCs w:val="25"/>
      <w:lang w:eastAsia="ko-KR"/>
    </w:rPr>
  </w:style>
  <w:style w:type="character" w:styleId="FootnoteReference">
    <w:name w:val="footnote reference"/>
    <w:basedOn w:val="DefaultParagraphFont"/>
    <w:semiHidden/>
    <w:unhideWhenUsed/>
    <w:rsid w:val="008D3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1021-66D0-4673-95E7-ABD2D068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9</cp:revision>
  <cp:lastPrinted>2014-02-05T03:42:00Z</cp:lastPrinted>
  <dcterms:created xsi:type="dcterms:W3CDTF">2020-12-04T06:44:00Z</dcterms:created>
  <dcterms:modified xsi:type="dcterms:W3CDTF">2021-02-17T04:15:00Z</dcterms:modified>
</cp:coreProperties>
</file>