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7D" w:rsidRDefault="00303E7D" w:rsidP="003762C7">
      <w:pPr>
        <w:ind w:right="-64"/>
        <w:rPr>
          <w:rFonts w:ascii="DilleniaUPC" w:hAnsi="DilleniaUPC" w:cs="DilleniaUPC"/>
          <w:b/>
          <w:bCs/>
          <w:noProof/>
          <w:sz w:val="30"/>
          <w:szCs w:val="30"/>
          <w:lang w:eastAsia="zh-TW"/>
        </w:rPr>
      </w:pPr>
    </w:p>
    <w:p w:rsidR="00464CC0" w:rsidRPr="003762C7" w:rsidRDefault="00464CC0" w:rsidP="003762C7">
      <w:pPr>
        <w:ind w:right="-64"/>
        <w:rPr>
          <w:rFonts w:ascii="DilleniaUPC" w:hAnsi="DilleniaUPC" w:cs="DilleniaUPC"/>
          <w:b/>
          <w:bCs/>
          <w:sz w:val="30"/>
          <w:szCs w:val="30"/>
          <w:cs/>
        </w:rPr>
      </w:pPr>
      <w:bookmarkStart w:id="0" w:name="_GoBack"/>
      <w:bookmarkEnd w:id="0"/>
    </w:p>
    <w:p w:rsidR="0044658A" w:rsidRPr="003B7766" w:rsidRDefault="0044658A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:rsidR="000040E3" w:rsidRDefault="0018338D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>
        <w:rPr>
          <w:rFonts w:ascii="DilleniaUPC" w:hAnsi="DilleniaUPC" w:cs="DilleniaUPC" w:hint="cs"/>
          <w:b/>
          <w:bCs/>
          <w:sz w:val="36"/>
          <w:szCs w:val="36"/>
          <w:cs/>
        </w:rPr>
        <w:t>แนวทางการปฏิบัติงาน</w:t>
      </w:r>
    </w:p>
    <w:p w:rsidR="000025E8" w:rsidRPr="00611AD6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611AD6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7A00A4">
        <w:rPr>
          <w:rFonts w:ascii="DilleniaUPC" w:hAnsi="DilleniaUPC" w:cs="DilleniaUPC" w:hint="cs"/>
          <w:b/>
          <w:bCs/>
          <w:sz w:val="36"/>
          <w:szCs w:val="36"/>
          <w:cs/>
        </w:rPr>
        <w:t>การจ่ายคืนเงินค่าจองซื้อ</w:t>
      </w:r>
      <w:r w:rsidR="00031F50" w:rsidRPr="00611AD6">
        <w:rPr>
          <w:rFonts w:ascii="DilleniaUPC" w:hAnsi="DilleniaUPC" w:cs="DilleniaUPC" w:hint="cs"/>
          <w:b/>
          <w:bCs/>
          <w:sz w:val="36"/>
          <w:szCs w:val="36"/>
          <w:cs/>
        </w:rPr>
        <w:t>หลักทรัพย์</w:t>
      </w:r>
    </w:p>
    <w:p w:rsidR="00B956D4" w:rsidRPr="004645E8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4645E8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B956D4" w:rsidRPr="004645E8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28"/>
        </w:rPr>
      </w:pPr>
    </w:p>
    <w:p w:rsidR="007A5A83" w:rsidRPr="004645E8" w:rsidRDefault="00A12389" w:rsidP="004645E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/>
          <w:sz w:val="30"/>
          <w:szCs w:val="30"/>
          <w:cs/>
        </w:rPr>
        <w:t>เพื่อให้การปฏิบัติงาน</w:t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>ใน</w:t>
      </w:r>
      <w:r w:rsidR="00955A6C" w:rsidRPr="004645E8">
        <w:rPr>
          <w:rFonts w:ascii="DilleniaUPC" w:hAnsi="DilleniaUPC" w:cs="DilleniaUPC" w:hint="cs"/>
          <w:sz w:val="30"/>
          <w:szCs w:val="30"/>
          <w:cs/>
        </w:rPr>
        <w:t>เรื่องการ</w:t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>จ่ายคืนเงินค่าจองซื้อหลักทรัพย์ให้แก่ผู้จองซื้อหลักทรัพย์ที่ไม่ได้รับการจัดสรร</w:t>
      </w:r>
      <w:r w:rsidR="00031F50" w:rsidRPr="004645E8">
        <w:rPr>
          <w:rFonts w:ascii="DilleniaUPC" w:hAnsi="DilleniaUPC" w:cs="DilleniaUPC"/>
          <w:sz w:val="30"/>
          <w:szCs w:val="30"/>
          <w:cs/>
        </w:rPr>
        <w:t>เป็นไป</w:t>
      </w:r>
      <w:r w:rsidR="00955A6C" w:rsidRPr="004645E8">
        <w:rPr>
          <w:rFonts w:ascii="DilleniaUPC" w:hAnsi="DilleniaUPC" w:cs="DilleniaUPC" w:hint="cs"/>
          <w:sz w:val="30"/>
          <w:szCs w:val="30"/>
          <w:cs/>
        </w:rPr>
        <w:t>อย่างเหมาะสม</w:t>
      </w:r>
      <w:r w:rsidR="00810F78" w:rsidRPr="004645E8">
        <w:rPr>
          <w:rFonts w:ascii="DilleniaUPC" w:hAnsi="DilleniaUPC" w:cs="DilleniaUPC" w:hint="cs"/>
          <w:sz w:val="30"/>
          <w:szCs w:val="30"/>
          <w:cs/>
        </w:rPr>
        <w:t>และมีประสิทธิภาพ</w:t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 xml:space="preserve"> เป็นไปเพื่อประโยชน์ของผู้ลงทุน</w:t>
      </w:r>
      <w:r w:rsidR="00810F78" w:rsidRPr="004645E8">
        <w:rPr>
          <w:rFonts w:ascii="DilleniaUPC" w:hAnsi="DilleniaUPC" w:cs="DilleniaUPC" w:hint="cs"/>
          <w:sz w:val="30"/>
          <w:szCs w:val="30"/>
          <w:cs/>
        </w:rPr>
        <w:t>ในการได้รับ</w:t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>คืนเงินค่าจองซื้อหลักทรัพย์ให้แก่</w:t>
      </w:r>
      <w:r w:rsidR="004645E8">
        <w:rPr>
          <w:rFonts w:ascii="DilleniaUPC" w:hAnsi="DilleniaUPC" w:cs="DilleniaUPC"/>
          <w:sz w:val="30"/>
          <w:szCs w:val="30"/>
          <w:cs/>
        </w:rPr>
        <w:br/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>ผู้จองซื้อหลักทรัพย์ที่ไม่ได้รับการจัดสรรผ่านช่องทางต่างๆ</w:t>
      </w:r>
      <w:r w:rsid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810F78" w:rsidRPr="004645E8">
        <w:rPr>
          <w:rFonts w:ascii="DilleniaUPC" w:hAnsi="DilleniaUPC" w:cs="DilleniaUPC" w:hint="cs"/>
          <w:sz w:val="30"/>
          <w:szCs w:val="30"/>
          <w:cs/>
        </w:rPr>
        <w:t>ในระยะเวลาที่เหมาะสม</w:t>
      </w:r>
    </w:p>
    <w:p w:rsidR="00031F50" w:rsidRPr="004645E8" w:rsidRDefault="00611AD6" w:rsidP="004645E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/>
          <w:sz w:val="20"/>
          <w:szCs w:val="20"/>
          <w:cs/>
        </w:rPr>
        <w:br/>
      </w:r>
      <w:r w:rsidR="00920922" w:rsidRPr="004645E8">
        <w:rPr>
          <w:rFonts w:ascii="DilleniaUPC" w:hAnsi="DilleniaUPC" w:cs="DilleniaUPC" w:hint="cs"/>
          <w:sz w:val="30"/>
          <w:szCs w:val="30"/>
          <w:cs/>
        </w:rPr>
        <w:tab/>
        <w:t>อ้างถึง</w:t>
      </w:r>
      <w:r w:rsidR="00810F78" w:rsidRPr="004645E8">
        <w:rPr>
          <w:rFonts w:ascii="DilleniaUPC" w:hAnsi="DilleniaUPC" w:cs="DilleniaUPC" w:hint="cs"/>
          <w:sz w:val="30"/>
          <w:szCs w:val="30"/>
          <w:cs/>
        </w:rPr>
        <w:t>ข้อ 14 แห่ง</w:t>
      </w:r>
      <w:r w:rsidR="00812E10" w:rsidRPr="004645E8">
        <w:rPr>
          <w:rFonts w:ascii="DilleniaUPC" w:hAnsi="DilleniaUPC" w:cs="DilleniaUPC"/>
          <w:sz w:val="30"/>
          <w:szCs w:val="30"/>
          <w:cs/>
        </w:rPr>
        <w:t xml:space="preserve">ประกาศคณะกรรมการกำกับตลาดทุน ที่ </w:t>
      </w:r>
      <w:proofErr w:type="spellStart"/>
      <w:r w:rsidR="00812E10" w:rsidRPr="004645E8">
        <w:rPr>
          <w:rFonts w:ascii="DilleniaUPC" w:hAnsi="DilleniaUPC" w:cs="DilleniaUPC"/>
          <w:sz w:val="30"/>
          <w:szCs w:val="30"/>
          <w:cs/>
        </w:rPr>
        <w:t>ทธ</w:t>
      </w:r>
      <w:proofErr w:type="spellEnd"/>
      <w:r w:rsidR="00812E10" w:rsidRPr="004645E8">
        <w:rPr>
          <w:rFonts w:ascii="DilleniaUPC" w:hAnsi="DilleniaUPC" w:cs="DilleniaUPC"/>
          <w:sz w:val="30"/>
          <w:szCs w:val="30"/>
          <w:cs/>
        </w:rPr>
        <w:t xml:space="preserve">.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27</w:t>
      </w:r>
      <w:r w:rsidR="00812E10" w:rsidRPr="004645E8">
        <w:rPr>
          <w:rFonts w:ascii="DilleniaUPC" w:hAnsi="DilleniaUPC" w:cs="DilleniaUPC"/>
          <w:sz w:val="30"/>
          <w:szCs w:val="30"/>
        </w:rPr>
        <w:t>/</w:t>
      </w:r>
      <w:r w:rsidR="00812E10" w:rsidRPr="004645E8">
        <w:rPr>
          <w:rFonts w:ascii="DilleniaUPC" w:hAnsi="DilleniaUPC" w:cs="DilleniaUPC"/>
          <w:sz w:val="30"/>
          <w:szCs w:val="30"/>
          <w:cs/>
        </w:rPr>
        <w:t>25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 xml:space="preserve">59 </w:t>
      </w:r>
      <w:r w:rsidR="00812E10" w:rsidRPr="004645E8">
        <w:rPr>
          <w:rFonts w:ascii="DilleniaUPC" w:hAnsi="DilleniaUPC" w:cs="DilleniaUPC"/>
          <w:sz w:val="30"/>
          <w:szCs w:val="30"/>
          <w:cs/>
        </w:rPr>
        <w:t xml:space="preserve">เรื่องหลักเกณฑ์ เงื่อนไข และวิธีการ ในการจัดจำหน่ายหลักทรัพย์ ลงวันที่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8</w:t>
      </w:r>
      <w:r w:rsidR="00812E10" w:rsidRPr="004645E8">
        <w:rPr>
          <w:rFonts w:ascii="DilleniaUPC" w:hAnsi="DilleniaUPC" w:cs="DilleniaUPC"/>
          <w:sz w:val="30"/>
          <w:szCs w:val="30"/>
        </w:rPr>
        <w:t xml:space="preserve">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กรกฎาคม 2559</w:t>
      </w:r>
      <w:r w:rsidR="00812E10" w:rsidRPr="004645E8">
        <w:rPr>
          <w:rFonts w:ascii="DilleniaUPC" w:hAnsi="DilleniaUPC" w:cs="DilleniaUPC"/>
          <w:sz w:val="30"/>
          <w:szCs w:val="30"/>
        </w:rPr>
        <w:t xml:space="preserve">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 xml:space="preserve">แก้ไขเพิ่มเติมโดยประกาศคณะกรรมการกำกับตลาดทุน ที่ </w:t>
      </w:r>
      <w:r w:rsidR="004645E8">
        <w:rPr>
          <w:rFonts w:ascii="DilleniaUPC" w:hAnsi="DilleniaUPC" w:cs="DilleniaUPC"/>
          <w:sz w:val="30"/>
          <w:szCs w:val="30"/>
          <w:cs/>
        </w:rPr>
        <w:br/>
      </w:r>
      <w:proofErr w:type="spellStart"/>
      <w:r w:rsidR="00812E10" w:rsidRPr="004645E8">
        <w:rPr>
          <w:rFonts w:ascii="DilleniaUPC" w:hAnsi="DilleniaUPC" w:cs="DilleniaUPC" w:hint="cs"/>
          <w:sz w:val="30"/>
          <w:szCs w:val="30"/>
          <w:cs/>
        </w:rPr>
        <w:t>ทธ</w:t>
      </w:r>
      <w:proofErr w:type="spellEnd"/>
      <w:r w:rsidR="00812E10" w:rsidRPr="004645E8">
        <w:rPr>
          <w:rFonts w:ascii="DilleniaUPC" w:hAnsi="DilleniaUPC" w:cs="DilleniaUPC" w:hint="cs"/>
          <w:sz w:val="30"/>
          <w:szCs w:val="30"/>
          <w:cs/>
        </w:rPr>
        <w:t>. 10</w:t>
      </w:r>
      <w:r w:rsidR="00812E10" w:rsidRPr="004645E8">
        <w:rPr>
          <w:rFonts w:ascii="DilleniaUPC" w:hAnsi="DilleniaUPC" w:cs="DilleniaUPC"/>
          <w:sz w:val="30"/>
          <w:szCs w:val="30"/>
        </w:rPr>
        <w:t>/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2560 เรื่องหลักเกณฑ์ เงื่อนไข และวิธีการ ในการจัดจำหน่ายหลักทรัพย์ (ฉบับที่ 2) ลงวันที่ 14</w:t>
      </w:r>
      <w:r w:rsidR="00812E10" w:rsidRPr="004645E8">
        <w:rPr>
          <w:rFonts w:ascii="DilleniaUPC" w:hAnsi="DilleniaUPC" w:cs="DilleniaUPC"/>
          <w:sz w:val="30"/>
          <w:szCs w:val="30"/>
        </w:rPr>
        <w:t xml:space="preserve">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กุมภาพันธ์ 2560</w:t>
      </w:r>
      <w:r w:rsidR="00920922"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810F78" w:rsidRPr="004645E8">
        <w:rPr>
          <w:rFonts w:ascii="DilleniaUPC" w:hAnsi="DilleniaUPC" w:cs="DilleniaUPC" w:hint="cs"/>
          <w:sz w:val="30"/>
          <w:szCs w:val="30"/>
          <w:cs/>
        </w:rPr>
        <w:t xml:space="preserve">ข้อ 14 (1) </w:t>
      </w:r>
      <w:r w:rsidR="00920922" w:rsidRPr="004645E8">
        <w:rPr>
          <w:rFonts w:ascii="DilleniaUPC" w:hAnsi="DilleniaUPC" w:cs="DilleniaUPC" w:hint="cs"/>
          <w:sz w:val="30"/>
          <w:szCs w:val="30"/>
          <w:cs/>
        </w:rPr>
        <w:t>ซึ่งกำหนดให้การคืนเงินค่าจองซื้อหลักทรัพย์ให้แก่ผู้จองซื้อหลักทรัพย์ให้เป็นไปตามระยะเวลาและวิธีการที่สมาคมบริษัทหลักทรัพย์ไทย</w:t>
      </w:r>
      <w:r w:rsidR="007A5A83" w:rsidRPr="004645E8">
        <w:rPr>
          <w:rFonts w:ascii="DilleniaUPC" w:hAnsi="DilleniaUPC" w:cs="DilleniaUPC" w:hint="cs"/>
          <w:sz w:val="30"/>
          <w:szCs w:val="30"/>
          <w:cs/>
        </w:rPr>
        <w:t>กำหนดโดยได้รับความเห็นชอบจากสำนักงาน</w:t>
      </w:r>
    </w:p>
    <w:p w:rsidR="007A5A83" w:rsidRPr="00BE2927" w:rsidRDefault="007A5A83" w:rsidP="004645E8">
      <w:pPr>
        <w:ind w:right="-64" w:firstLine="720"/>
        <w:jc w:val="thaiDistribute"/>
        <w:rPr>
          <w:rFonts w:ascii="DilleniaUPC" w:hAnsi="DilleniaUPC" w:cs="DilleniaUPC"/>
          <w:sz w:val="20"/>
          <w:szCs w:val="20"/>
        </w:rPr>
      </w:pPr>
    </w:p>
    <w:p w:rsidR="00CA2B09" w:rsidRPr="004645E8" w:rsidRDefault="00CA2B09" w:rsidP="004645E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อาศัยอำนาจตามความในข้อ 22 แห่งข้อบังคับสมาคมบริษัทหลักทรัพย์ไทย </w:t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 xml:space="preserve">โดยความเห็นชอบของสำนักงานคณะกรรมการกำกับหลักทรัพย์และตลาดหลักทรัพย์ </w:t>
      </w:r>
      <w:r w:rsidRPr="004645E8">
        <w:rPr>
          <w:rFonts w:ascii="DilleniaUPC" w:hAnsi="DilleniaUPC" w:cs="DilleniaUPC" w:hint="cs"/>
          <w:sz w:val="30"/>
          <w:szCs w:val="30"/>
          <w:cs/>
        </w:rPr>
        <w:t>สมาคมบริษัทหลักทรัพย์ไทยจึงกำหนด</w:t>
      </w:r>
      <w:r w:rsidR="0018338D" w:rsidRPr="004645E8">
        <w:rPr>
          <w:rFonts w:ascii="DilleniaUPC" w:hAnsi="DilleniaUPC" w:cs="DilleniaUPC" w:hint="cs"/>
          <w:sz w:val="30"/>
          <w:szCs w:val="30"/>
          <w:cs/>
        </w:rPr>
        <w:t>แนวทางการปฏิบัติงาน</w:t>
      </w:r>
      <w:r w:rsidRPr="004645E8">
        <w:rPr>
          <w:rFonts w:ascii="DilleniaUPC" w:hAnsi="DilleniaUPC" w:cs="DilleniaUPC" w:hint="cs"/>
          <w:sz w:val="30"/>
          <w:szCs w:val="30"/>
          <w:cs/>
        </w:rPr>
        <w:t xml:space="preserve"> เรื่อง </w:t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>การจ่ายคืนเงินค่าจองซื้อ</w:t>
      </w:r>
      <w:r w:rsidRPr="004645E8">
        <w:rPr>
          <w:rFonts w:ascii="DilleniaUPC" w:hAnsi="DilleniaUPC" w:cs="DilleniaUPC" w:hint="cs"/>
          <w:sz w:val="30"/>
          <w:szCs w:val="30"/>
          <w:cs/>
        </w:rPr>
        <w:t>หลักทรัพย์ เพื่อให้สมาชิกถือปฏิบัติ</w:t>
      </w:r>
      <w:r w:rsidR="00611AD6"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4645E8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CA2B09" w:rsidRPr="00BE2927" w:rsidRDefault="00CA2B09" w:rsidP="004645E8">
      <w:pPr>
        <w:ind w:right="-64" w:firstLine="720"/>
        <w:jc w:val="thaiDistribute"/>
        <w:rPr>
          <w:rFonts w:ascii="DilleniaUPC" w:hAnsi="DilleniaUPC" w:cs="DilleniaUPC"/>
          <w:sz w:val="20"/>
          <w:szCs w:val="20"/>
        </w:rPr>
      </w:pPr>
    </w:p>
    <w:p w:rsidR="000E1230" w:rsidRPr="004645E8" w:rsidRDefault="00907684" w:rsidP="004645E8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ข้อ 1 </w:t>
      </w:r>
      <w:r w:rsidR="000E1230" w:rsidRPr="004645E8">
        <w:rPr>
          <w:rFonts w:ascii="DilleniaUPC" w:hAnsi="DilleniaUPC" w:cs="DilleniaUPC" w:hint="cs"/>
          <w:sz w:val="30"/>
          <w:szCs w:val="30"/>
          <w:cs/>
        </w:rPr>
        <w:t>ใน</w:t>
      </w:r>
      <w:r w:rsidR="0018338D" w:rsidRPr="004645E8">
        <w:rPr>
          <w:rFonts w:ascii="DilleniaUPC" w:hAnsi="DilleniaUPC" w:cs="DilleniaUPC" w:hint="cs"/>
          <w:sz w:val="30"/>
          <w:szCs w:val="30"/>
          <w:cs/>
        </w:rPr>
        <w:t>แนวทางการปฏิบัติงาน</w:t>
      </w:r>
      <w:r w:rsidR="000E1230" w:rsidRPr="004645E8">
        <w:rPr>
          <w:rFonts w:ascii="DilleniaUPC" w:hAnsi="DilleniaUPC" w:cs="DilleniaUPC" w:hint="cs"/>
          <w:sz w:val="30"/>
          <w:szCs w:val="30"/>
          <w:cs/>
        </w:rPr>
        <w:t>นี้</w:t>
      </w:r>
    </w:p>
    <w:p w:rsidR="007A00A4" w:rsidRPr="004645E8" w:rsidRDefault="007A00A4" w:rsidP="004645E8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4645E8">
        <w:rPr>
          <w:rFonts w:ascii="DilleniaUPC" w:hAnsi="DilleniaUPC" w:cs="DilleniaUPC"/>
          <w:sz w:val="30"/>
          <w:szCs w:val="30"/>
        </w:rPr>
        <w:t>“</w:t>
      </w:r>
      <w:r w:rsidRPr="004645E8">
        <w:rPr>
          <w:rFonts w:ascii="DilleniaUPC" w:hAnsi="DilleniaUPC" w:cs="DilleniaUPC" w:hint="cs"/>
          <w:sz w:val="30"/>
          <w:szCs w:val="30"/>
          <w:cs/>
        </w:rPr>
        <w:t>สำนักงาน</w:t>
      </w:r>
      <w:r w:rsidRPr="004645E8">
        <w:rPr>
          <w:rFonts w:ascii="DilleniaUPC" w:hAnsi="DilleniaUPC" w:cs="DilleniaUPC"/>
          <w:sz w:val="30"/>
          <w:szCs w:val="30"/>
        </w:rPr>
        <w:t xml:space="preserve">” </w:t>
      </w:r>
      <w:r w:rsidRPr="004645E8">
        <w:rPr>
          <w:rFonts w:ascii="DilleniaUPC" w:hAnsi="DilleniaUPC" w:cs="DilleniaUPC" w:hint="cs"/>
          <w:sz w:val="30"/>
          <w:szCs w:val="30"/>
          <w:cs/>
        </w:rPr>
        <w:t>หมายความว่า สำนักงานคณะกรรมการกำกับหลักทรัพย์และตลาดหลักทรัพย์</w:t>
      </w:r>
    </w:p>
    <w:p w:rsidR="007A00A4" w:rsidRPr="004645E8" w:rsidRDefault="007A00A4" w:rsidP="004645E8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/>
          <w:sz w:val="30"/>
          <w:szCs w:val="30"/>
        </w:rPr>
        <w:t xml:space="preserve"> “</w:t>
      </w:r>
      <w:r w:rsidRPr="004645E8">
        <w:rPr>
          <w:rFonts w:ascii="DilleniaUPC" w:hAnsi="DilleniaUPC" w:cs="DilleniaUPC" w:hint="cs"/>
          <w:sz w:val="30"/>
          <w:szCs w:val="30"/>
          <w:cs/>
        </w:rPr>
        <w:t>ตลาดหลักทรัพย์</w:t>
      </w:r>
      <w:r w:rsidRPr="004645E8">
        <w:rPr>
          <w:rFonts w:ascii="DilleniaUPC" w:hAnsi="DilleniaUPC" w:cs="DilleniaUPC"/>
          <w:sz w:val="30"/>
          <w:szCs w:val="30"/>
        </w:rPr>
        <w:t xml:space="preserve">” </w:t>
      </w:r>
      <w:r w:rsidRPr="004645E8">
        <w:rPr>
          <w:rFonts w:ascii="DilleniaUPC" w:hAnsi="DilleniaUPC" w:cs="DilleniaUPC" w:hint="cs"/>
          <w:sz w:val="30"/>
          <w:szCs w:val="30"/>
          <w:cs/>
        </w:rPr>
        <w:t>หมายความว่า ตลาดหลักทรัพย์แห่งประเทศไทย</w:t>
      </w:r>
    </w:p>
    <w:p w:rsidR="000E1230" w:rsidRPr="004645E8" w:rsidRDefault="007A00A4" w:rsidP="004645E8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/>
          <w:sz w:val="30"/>
          <w:szCs w:val="30"/>
        </w:rPr>
        <w:t xml:space="preserve"> </w:t>
      </w:r>
      <w:r w:rsidR="000E1230" w:rsidRPr="004645E8">
        <w:rPr>
          <w:rFonts w:ascii="DilleniaUPC" w:hAnsi="DilleniaUPC" w:cs="DilleniaUPC"/>
          <w:sz w:val="30"/>
          <w:szCs w:val="30"/>
        </w:rPr>
        <w:t>“</w:t>
      </w:r>
      <w:r w:rsidR="000E1230" w:rsidRPr="004645E8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0E1230" w:rsidRPr="004645E8">
        <w:rPr>
          <w:rFonts w:ascii="DilleniaUPC" w:hAnsi="DilleniaUPC" w:cs="DilleniaUPC"/>
          <w:sz w:val="30"/>
          <w:szCs w:val="30"/>
        </w:rPr>
        <w:t xml:space="preserve">” </w:t>
      </w:r>
      <w:r w:rsidR="000E1230" w:rsidRPr="004645E8">
        <w:rPr>
          <w:rFonts w:ascii="DilleniaUPC" w:hAnsi="DilleniaUPC" w:cs="DilleniaUPC" w:hint="cs"/>
          <w:sz w:val="30"/>
          <w:szCs w:val="30"/>
          <w:cs/>
        </w:rPr>
        <w:t>หมายความว่า สมาคมบริษัทหลักทรัพย์ไทย</w:t>
      </w:r>
    </w:p>
    <w:p w:rsidR="000C547E" w:rsidRPr="004645E8" w:rsidRDefault="007A00A4" w:rsidP="004645E8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  <w:cs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87310" w:rsidRPr="004645E8">
        <w:rPr>
          <w:rFonts w:ascii="DilleniaUPC" w:hAnsi="DilleniaUPC" w:cs="DilleniaUPC" w:hint="cs"/>
          <w:sz w:val="30"/>
          <w:szCs w:val="30"/>
          <w:cs/>
        </w:rPr>
        <w:t>“</w:t>
      </w:r>
      <w:r w:rsidR="000C547E" w:rsidRPr="004645E8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0C547E" w:rsidRPr="004645E8">
        <w:rPr>
          <w:rFonts w:ascii="DilleniaUPC" w:hAnsi="DilleniaUPC" w:cs="DilleniaUPC"/>
          <w:sz w:val="30"/>
          <w:szCs w:val="30"/>
        </w:rPr>
        <w:t xml:space="preserve">” </w:t>
      </w:r>
      <w:r w:rsidR="000C547E" w:rsidRPr="004645E8">
        <w:rPr>
          <w:rFonts w:ascii="DilleniaUPC" w:hAnsi="DilleniaUPC" w:cs="DilleniaUPC" w:hint="cs"/>
          <w:sz w:val="30"/>
          <w:szCs w:val="30"/>
          <w:cs/>
        </w:rPr>
        <w:t>หมายความว่า สมาชิกสมาคมบริษัทหลักทรัพย์ไทย</w:t>
      </w:r>
      <w:r w:rsidR="003D5A0E" w:rsidRPr="004645E8">
        <w:rPr>
          <w:rFonts w:ascii="DilleniaUPC" w:hAnsi="DilleniaUPC" w:cs="DilleniaUPC" w:hint="cs"/>
          <w:sz w:val="30"/>
          <w:szCs w:val="30"/>
          <w:cs/>
        </w:rPr>
        <w:t>ที่ประกอบธุรกิจการจัดจำหน่ายหลักทรัพย์</w:t>
      </w:r>
    </w:p>
    <w:p w:rsidR="00BF6813" w:rsidRPr="004645E8" w:rsidRDefault="007A00A4" w:rsidP="004645E8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A2B09" w:rsidRPr="004645E8">
        <w:rPr>
          <w:rFonts w:ascii="DilleniaUPC" w:hAnsi="DilleniaUPC" w:cs="DilleniaUPC" w:hint="cs"/>
          <w:sz w:val="30"/>
          <w:szCs w:val="30"/>
        </w:rPr>
        <w:t>“</w:t>
      </w:r>
      <w:r w:rsidR="00CA2B09" w:rsidRPr="004645E8">
        <w:rPr>
          <w:rFonts w:ascii="DilleniaUPC" w:hAnsi="DilleniaUPC" w:cs="DilleniaUPC" w:hint="cs"/>
          <w:sz w:val="30"/>
          <w:szCs w:val="30"/>
          <w:cs/>
        </w:rPr>
        <w:t>ลูกค้า</w:t>
      </w:r>
      <w:r w:rsidR="00CA2B09" w:rsidRPr="004645E8">
        <w:rPr>
          <w:rFonts w:ascii="DilleniaUPC" w:hAnsi="DilleniaUPC" w:cs="DilleniaUPC" w:hint="cs"/>
          <w:sz w:val="30"/>
          <w:szCs w:val="30"/>
        </w:rPr>
        <w:t>”</w:t>
      </w:r>
      <w:r w:rsidR="00CA2B09" w:rsidRPr="004645E8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ผู้ใช้บริการ</w:t>
      </w:r>
      <w:r w:rsidR="00191097" w:rsidRPr="004645E8">
        <w:rPr>
          <w:rFonts w:ascii="DilleniaUPC" w:hAnsi="DilleniaUPC" w:cs="DilleniaUPC" w:hint="cs"/>
          <w:sz w:val="30"/>
          <w:szCs w:val="30"/>
          <w:cs/>
        </w:rPr>
        <w:t>ของสมาชิก</w:t>
      </w:r>
      <w:r w:rsidR="00C1315A" w:rsidRPr="004645E8">
        <w:rPr>
          <w:rFonts w:ascii="DilleniaUPC" w:hAnsi="DilleniaUPC" w:cs="DilleniaUPC" w:hint="cs"/>
          <w:sz w:val="30"/>
          <w:szCs w:val="30"/>
          <w:cs/>
        </w:rPr>
        <w:t>ที่เกี่ยวข้องกับการประกอบธุรกิจ</w:t>
      </w:r>
      <w:r w:rsidRPr="004645E8">
        <w:rPr>
          <w:rFonts w:ascii="DilleniaUPC" w:hAnsi="DilleniaUPC" w:cs="DilleniaUPC" w:hint="cs"/>
          <w:sz w:val="30"/>
          <w:szCs w:val="30"/>
          <w:cs/>
        </w:rPr>
        <w:t>การจัดจำหน่ายหลักทรัพย์</w:t>
      </w:r>
      <w:r w:rsidR="00F55378"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7A5A83" w:rsidRPr="004645E8" w:rsidRDefault="007A5A83" w:rsidP="004645E8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4645E8">
        <w:rPr>
          <w:rFonts w:ascii="DilleniaUPC" w:hAnsi="DilleniaUPC" w:cs="DilleniaUPC"/>
          <w:sz w:val="30"/>
          <w:szCs w:val="30"/>
        </w:rPr>
        <w:t>“</w:t>
      </w:r>
      <w:r w:rsidRPr="004645E8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Pr="004645E8">
        <w:rPr>
          <w:rFonts w:ascii="DilleniaUPC" w:hAnsi="DilleniaUPC" w:cs="DilleniaUPC"/>
          <w:sz w:val="30"/>
          <w:szCs w:val="30"/>
        </w:rPr>
        <w:t xml:space="preserve">” </w:t>
      </w:r>
      <w:r w:rsidRPr="004645E8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r w:rsidR="00415311" w:rsidRPr="004645E8">
        <w:rPr>
          <w:rFonts w:ascii="DilleniaUPC" w:hAnsi="DilleniaUPC" w:cs="DilleniaUPC" w:hint="cs"/>
          <w:sz w:val="30"/>
          <w:szCs w:val="30"/>
          <w:cs/>
        </w:rPr>
        <w:t>หลักทรัพย์ตามมาตรา 4 ของพระราชบัญญัติหลักทรัพย์และตลาดหลักทรัพย์</w:t>
      </w:r>
    </w:p>
    <w:p w:rsidR="00F90132" w:rsidRPr="004645E8" w:rsidRDefault="00F90132" w:rsidP="004645E8">
      <w:pPr>
        <w:tabs>
          <w:tab w:val="left" w:pos="0"/>
        </w:tabs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/>
          <w:sz w:val="30"/>
          <w:szCs w:val="30"/>
        </w:rPr>
        <w:t xml:space="preserve">  </w:t>
      </w:r>
      <w:r w:rsidR="00812E10" w:rsidRPr="004645E8">
        <w:rPr>
          <w:rFonts w:ascii="DilleniaUPC" w:hAnsi="DilleniaUPC" w:cs="DilleniaUPC"/>
          <w:sz w:val="30"/>
          <w:szCs w:val="30"/>
          <w:cs/>
        </w:rPr>
        <w:t xml:space="preserve">นอกเหนือจากคำที่บัญญัติไว้ข้างต้น ให้คำที่ปรากฏในแนวทางการปฏิบัติงานฉบับนี้มีความหมายเป็นไปตามนิยามที่กำหนดไว้ในประกาศคณะกรรมการกำกับตลาดทุน ที่ </w:t>
      </w:r>
      <w:proofErr w:type="spellStart"/>
      <w:r w:rsidR="00812E10" w:rsidRPr="004645E8">
        <w:rPr>
          <w:rFonts w:ascii="DilleniaUPC" w:hAnsi="DilleniaUPC" w:cs="DilleniaUPC"/>
          <w:sz w:val="30"/>
          <w:szCs w:val="30"/>
          <w:cs/>
        </w:rPr>
        <w:t>ทธ</w:t>
      </w:r>
      <w:proofErr w:type="spellEnd"/>
      <w:r w:rsidR="00812E10" w:rsidRPr="004645E8">
        <w:rPr>
          <w:rFonts w:ascii="DilleniaUPC" w:hAnsi="DilleniaUPC" w:cs="DilleniaUPC"/>
          <w:sz w:val="30"/>
          <w:szCs w:val="30"/>
          <w:cs/>
        </w:rPr>
        <w:t xml:space="preserve">.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27/2559 เรื่องหลักเกณฑ์ เงื่อนไข และวิธีการ ในการจัดจำหน่ายหลักทรัพย์</w:t>
      </w:r>
      <w:r w:rsidR="00812E10" w:rsidRPr="004645E8">
        <w:rPr>
          <w:rFonts w:ascii="DilleniaUPC" w:hAnsi="DilleniaUPC" w:cs="DilleniaUPC"/>
          <w:sz w:val="30"/>
          <w:szCs w:val="30"/>
          <w:cs/>
        </w:rPr>
        <w:t xml:space="preserve"> ลงวันที่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8</w:t>
      </w:r>
      <w:r w:rsidR="00812E10" w:rsidRPr="004645E8">
        <w:rPr>
          <w:rFonts w:ascii="DilleniaUPC" w:hAnsi="DilleniaUPC" w:cs="DilleniaUPC"/>
          <w:sz w:val="30"/>
          <w:szCs w:val="30"/>
        </w:rPr>
        <w:t xml:space="preserve"> </w:t>
      </w:r>
      <w:r w:rsidR="00812E10" w:rsidRPr="004645E8">
        <w:rPr>
          <w:rFonts w:ascii="DilleniaUPC" w:hAnsi="DilleniaUPC" w:cs="DilleniaUPC" w:hint="cs"/>
          <w:sz w:val="30"/>
          <w:szCs w:val="30"/>
          <w:cs/>
        </w:rPr>
        <w:t>กรกฎาคม พ.ศ. 2559</w:t>
      </w:r>
    </w:p>
    <w:p w:rsidR="00C1315A" w:rsidRPr="00BE2927" w:rsidRDefault="00C1315A" w:rsidP="004645E8">
      <w:pPr>
        <w:tabs>
          <w:tab w:val="left" w:pos="426"/>
        </w:tabs>
        <w:ind w:left="426" w:right="-64" w:firstLine="283"/>
        <w:jc w:val="thaiDistribute"/>
        <w:rPr>
          <w:rFonts w:ascii="DilleniaUPC" w:hAnsi="DilleniaUPC" w:cs="DilleniaUPC"/>
          <w:sz w:val="20"/>
          <w:szCs w:val="20"/>
          <w:cs/>
        </w:rPr>
      </w:pPr>
    </w:p>
    <w:p w:rsidR="00F90132" w:rsidRPr="004645E8" w:rsidRDefault="00907684" w:rsidP="004645E8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ข้อ 2 </w:t>
      </w:r>
      <w:r w:rsidR="007A00A4" w:rsidRPr="004645E8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F90132" w:rsidRPr="004645E8">
        <w:rPr>
          <w:rFonts w:ascii="DilleniaUPC" w:hAnsi="DilleniaUPC" w:cs="DilleniaUPC" w:hint="cs"/>
          <w:sz w:val="30"/>
          <w:szCs w:val="30"/>
          <w:cs/>
        </w:rPr>
        <w:t>ต้องจัดให้มีข้อตกลงกับผู้เสนอขายหลักทรัพย์เกี่ยวกับ</w:t>
      </w:r>
      <w:r w:rsidR="00810F78" w:rsidRPr="004645E8">
        <w:rPr>
          <w:rFonts w:ascii="DilleniaUPC" w:hAnsi="DilleniaUPC" w:cs="DilleniaUPC" w:hint="cs"/>
          <w:sz w:val="30"/>
          <w:szCs w:val="30"/>
          <w:cs/>
        </w:rPr>
        <w:t>การคืน</w:t>
      </w:r>
      <w:r w:rsidR="00F90132" w:rsidRPr="004645E8">
        <w:rPr>
          <w:rFonts w:ascii="DilleniaUPC" w:hAnsi="DilleniaUPC" w:cs="DilleniaUPC" w:hint="cs"/>
          <w:sz w:val="30"/>
          <w:szCs w:val="30"/>
          <w:cs/>
        </w:rPr>
        <w:t>เงินค่าจองซื้อหลักทรัพย์</w:t>
      </w:r>
      <w:r w:rsidR="00810F78" w:rsidRPr="004645E8">
        <w:rPr>
          <w:rFonts w:ascii="DilleniaUPC" w:hAnsi="DilleniaUPC" w:cs="DilleniaUPC" w:hint="cs"/>
          <w:sz w:val="30"/>
          <w:szCs w:val="30"/>
          <w:cs/>
        </w:rPr>
        <w:t>ให้แก่ผู้จองซื้อหลักทรัพย์</w:t>
      </w:r>
      <w:r w:rsidR="007A321B" w:rsidRPr="004645E8">
        <w:rPr>
          <w:rFonts w:ascii="DilleniaUPC" w:hAnsi="DilleniaUPC" w:cs="DilleniaUPC" w:hint="cs"/>
          <w:sz w:val="30"/>
          <w:szCs w:val="30"/>
          <w:cs/>
        </w:rPr>
        <w:t>โดย</w:t>
      </w:r>
      <w:r w:rsidR="00F90132" w:rsidRPr="004645E8">
        <w:rPr>
          <w:rFonts w:ascii="DilleniaUPC" w:hAnsi="DilleniaUPC" w:cs="DilleniaUPC" w:hint="cs"/>
          <w:sz w:val="30"/>
          <w:szCs w:val="30"/>
          <w:cs/>
        </w:rPr>
        <w:t>อย่างน้อยต้องเป็นไปตามแนวทางการปฏิบัติงานฉบับนี้</w:t>
      </w:r>
    </w:p>
    <w:p w:rsidR="00BE2927" w:rsidRDefault="00BE2927" w:rsidP="004645E8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3B7766" w:rsidRDefault="003B7766" w:rsidP="004645E8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370B71" w:rsidRPr="00907684" w:rsidRDefault="00F90132" w:rsidP="004645E8">
      <w:pPr>
        <w:ind w:right="-64"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>ข้อ 3 สมาชิกต้อง</w:t>
      </w:r>
      <w:r w:rsidR="007A00A4">
        <w:rPr>
          <w:rFonts w:ascii="DilleniaUPC" w:hAnsi="DilleniaUPC" w:cs="DilleniaUPC" w:hint="cs"/>
          <w:sz w:val="30"/>
          <w:szCs w:val="30"/>
          <w:cs/>
        </w:rPr>
        <w:t>คืนเงินค่าจองซื้อหลักทรัพย์ให้แก่ผู้จองซื้อหลักทรัพย์ที่ไม่ได้รับการ</w:t>
      </w:r>
      <w:r w:rsidR="004645E8">
        <w:rPr>
          <w:rFonts w:ascii="DilleniaUPC" w:hAnsi="DilleniaUPC" w:cs="DilleniaUPC" w:hint="cs"/>
          <w:sz w:val="30"/>
          <w:szCs w:val="30"/>
          <w:cs/>
        </w:rPr>
        <w:t>จัดสรร</w:t>
      </w:r>
      <w:r w:rsidR="007A00A4">
        <w:rPr>
          <w:rFonts w:ascii="DilleniaUPC" w:hAnsi="DilleniaUPC" w:cs="DilleniaUPC" w:hint="cs"/>
          <w:sz w:val="30"/>
          <w:szCs w:val="30"/>
          <w:cs/>
        </w:rPr>
        <w:t>ผ่านทางช่องทางต่างๆภายในระยะเวลาที่กำหนดตามแนวทางการปฏิบัติงาน</w:t>
      </w:r>
      <w:r w:rsidR="00E24F02">
        <w:rPr>
          <w:rFonts w:ascii="DilleniaUPC" w:hAnsi="DilleniaUPC" w:cs="DilleniaUPC" w:hint="cs"/>
          <w:sz w:val="30"/>
          <w:szCs w:val="30"/>
          <w:cs/>
        </w:rPr>
        <w:t xml:space="preserve">ฉบับนี้ </w:t>
      </w:r>
      <w:r w:rsidR="00481BAC">
        <w:rPr>
          <w:rFonts w:ascii="DilleniaUPC" w:hAnsi="DilleniaUPC" w:cs="DilleniaUPC" w:hint="cs"/>
          <w:sz w:val="30"/>
          <w:szCs w:val="30"/>
          <w:cs/>
        </w:rPr>
        <w:t xml:space="preserve"> ดังนี้</w:t>
      </w:r>
    </w:p>
    <w:p w:rsidR="00370B71" w:rsidRPr="00BE2927" w:rsidRDefault="00370B71" w:rsidP="004645E8">
      <w:pPr>
        <w:ind w:right="-64" w:firstLine="709"/>
        <w:jc w:val="thaiDistribute"/>
        <w:rPr>
          <w:rFonts w:ascii="DilleniaUPC" w:hAnsi="DilleniaUPC" w:cs="DilleniaUPC"/>
          <w:sz w:val="20"/>
          <w:szCs w:val="20"/>
        </w:rPr>
      </w:pPr>
    </w:p>
    <w:p w:rsidR="00481BAC" w:rsidRDefault="00481BAC" w:rsidP="004645E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3.1 </w:t>
      </w:r>
      <w:r w:rsidR="00332208">
        <w:rPr>
          <w:rFonts w:ascii="DilleniaUPC" w:hAnsi="DilleniaUPC" w:cs="DilleniaUPC" w:hint="cs"/>
          <w:sz w:val="30"/>
          <w:szCs w:val="30"/>
          <w:cs/>
        </w:rPr>
        <w:t xml:space="preserve">กรณีผู้จองซื้อหลักทรัพย์เป็นลูกค้าของสมาชิก </w:t>
      </w:r>
    </w:p>
    <w:p w:rsidR="00676D67" w:rsidRPr="004645E8" w:rsidRDefault="00C06CED" w:rsidP="004645E8">
      <w:pPr>
        <w:ind w:left="709"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ให้</w:t>
      </w:r>
      <w:r w:rsidR="006661F1" w:rsidRPr="00907684">
        <w:rPr>
          <w:rFonts w:ascii="DilleniaUPC" w:hAnsi="DilleniaUPC" w:cs="DilleniaUPC"/>
          <w:sz w:val="30"/>
          <w:szCs w:val="30"/>
          <w:cs/>
        </w:rPr>
        <w:t>สมาชิก</w:t>
      </w:r>
      <w:r>
        <w:rPr>
          <w:rFonts w:ascii="DilleniaUPC" w:hAnsi="DilleniaUPC" w:cs="DilleniaUPC" w:hint="cs"/>
          <w:sz w:val="30"/>
          <w:szCs w:val="30"/>
          <w:cs/>
        </w:rPr>
        <w:t>คืนเงินค่าจองซื้อ</w:t>
      </w:r>
      <w:r w:rsidR="00511D56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="0033220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32208" w:rsidRPr="00332208">
        <w:rPr>
          <w:rFonts w:ascii="DilleniaUPC" w:hAnsi="DilleniaUPC" w:cs="DilleniaUPC"/>
          <w:sz w:val="30"/>
          <w:szCs w:val="30"/>
          <w:cs/>
        </w:rPr>
        <w:t>โดยหักบัญชีเงินฝากธนาคารของสมาชิกโดยอัตโนมัติ (</w:t>
      </w:r>
      <w:r w:rsidR="00332208" w:rsidRPr="00332208">
        <w:rPr>
          <w:rFonts w:ascii="DilleniaUPC" w:hAnsi="DilleniaUPC" w:cs="DilleniaUPC"/>
          <w:sz w:val="30"/>
          <w:szCs w:val="30"/>
        </w:rPr>
        <w:t xml:space="preserve">Automated Transfer System (ATS)) </w:t>
      </w:r>
      <w:r w:rsidR="00332208">
        <w:rPr>
          <w:rFonts w:ascii="DilleniaUPC" w:hAnsi="DilleniaUPC" w:cs="DilleniaUPC" w:hint="cs"/>
          <w:sz w:val="30"/>
          <w:szCs w:val="30"/>
          <w:cs/>
        </w:rPr>
        <w:t>เข้า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 xml:space="preserve">บัญชีเงินฝากธนาคารของลูกค้า </w:t>
      </w:r>
      <w:r w:rsidR="00332208" w:rsidRPr="004645E8">
        <w:rPr>
          <w:rFonts w:ascii="DilleniaUPC" w:hAnsi="DilleniaUPC" w:cs="DilleniaUPC"/>
          <w:sz w:val="30"/>
          <w:szCs w:val="30"/>
          <w:cs/>
        </w:rPr>
        <w:t>หรือโดยโอนเงินเข้าบัญชี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>ซื้อขายหลักทรัพย์ตามประเภทบัญชีที่ลูกค้าแจ้งไว้ภายใน 5 วันทำการ</w:t>
      </w:r>
      <w:r w:rsidR="009C2008"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>นับตั้งแต่วันปิดการเสนอขาย</w:t>
      </w:r>
      <w:r w:rsidR="009C2008" w:rsidRPr="004645E8">
        <w:rPr>
          <w:rFonts w:ascii="DilleniaUPC" w:hAnsi="DilleniaUPC" w:cs="DilleniaUPC"/>
          <w:sz w:val="30"/>
          <w:szCs w:val="30"/>
        </w:rPr>
        <w:t xml:space="preserve"> </w:t>
      </w:r>
      <w:r w:rsidR="009C2008" w:rsidRPr="004645E8">
        <w:rPr>
          <w:rFonts w:ascii="DilleniaUPC" w:hAnsi="DilleniaUPC" w:cs="DilleniaUPC"/>
          <w:sz w:val="30"/>
          <w:szCs w:val="30"/>
          <w:cs/>
        </w:rPr>
        <w:t>วันที่สิ้นสุดระยะเวลายกเลิกการจองซื้อหลักทรัพย์ หรือวันที่</w:t>
      </w:r>
      <w:r w:rsidR="004645E8" w:rsidRPr="004645E8">
        <w:rPr>
          <w:rFonts w:ascii="DilleniaUPC" w:hAnsi="DilleniaUPC" w:cs="DilleniaUPC" w:hint="cs"/>
          <w:sz w:val="30"/>
          <w:szCs w:val="30"/>
          <w:cs/>
        </w:rPr>
        <w:t>ปรากฏ</w:t>
      </w:r>
      <w:r w:rsidR="009C2008" w:rsidRPr="004645E8">
        <w:rPr>
          <w:rFonts w:ascii="DilleniaUPC" w:hAnsi="DilleniaUPC" w:cs="DilleniaUPC"/>
          <w:sz w:val="30"/>
          <w:szCs w:val="30"/>
          <w:cs/>
        </w:rPr>
        <w:t>ข้อเท็จจริงที่เป็นเหตุแห่งการยกเลิกการเสนอขายหลักทรัพย์ แล้วแต่กรณี</w:t>
      </w:r>
    </w:p>
    <w:p w:rsidR="00332208" w:rsidRPr="00BE2927" w:rsidRDefault="00332208" w:rsidP="004645E8">
      <w:pPr>
        <w:ind w:right="-64" w:firstLine="709"/>
        <w:jc w:val="thaiDistribute"/>
        <w:rPr>
          <w:rFonts w:ascii="DilleniaUPC" w:hAnsi="DilleniaUPC" w:cs="DilleniaUPC"/>
          <w:sz w:val="20"/>
          <w:szCs w:val="20"/>
        </w:rPr>
      </w:pPr>
    </w:p>
    <w:p w:rsidR="00481BAC" w:rsidRPr="004645E8" w:rsidRDefault="00481BAC" w:rsidP="004645E8">
      <w:pPr>
        <w:tabs>
          <w:tab w:val="left" w:pos="1276"/>
        </w:tabs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 xml:space="preserve">3.2 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 xml:space="preserve">กรณีผู้จองซื้อหลักทรัพย์เป็นบุคคลทั่วไป ที่มิใช่ลูกค้าของสมาชิก </w:t>
      </w:r>
    </w:p>
    <w:p w:rsidR="009C2008" w:rsidRPr="004645E8" w:rsidRDefault="00481BAC" w:rsidP="004645E8">
      <w:pPr>
        <w:ind w:left="709"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4645E8">
        <w:rPr>
          <w:rFonts w:ascii="DilleniaUPC" w:hAnsi="DilleniaUPC" w:cs="DilleniaUPC" w:hint="cs"/>
          <w:sz w:val="30"/>
          <w:szCs w:val="30"/>
          <w:cs/>
        </w:rPr>
        <w:tab/>
      </w:r>
      <w:r w:rsidR="009C2008" w:rsidRPr="004645E8">
        <w:rPr>
          <w:rFonts w:ascii="DilleniaUPC" w:hAnsi="DilleniaUPC" w:cs="DilleniaUPC" w:hint="cs"/>
          <w:sz w:val="30"/>
          <w:szCs w:val="30"/>
          <w:cs/>
        </w:rPr>
        <w:t>ใ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>ห้</w:t>
      </w:r>
      <w:r w:rsidR="00332208" w:rsidRPr="004645E8">
        <w:rPr>
          <w:rFonts w:ascii="DilleniaUPC" w:hAnsi="DilleniaUPC" w:cs="DilleniaUPC"/>
          <w:sz w:val="30"/>
          <w:szCs w:val="30"/>
          <w:cs/>
        </w:rPr>
        <w:t>สมาชิก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>คืนเงินค่าจองซื้อ</w:t>
      </w:r>
      <w:r w:rsidR="00511D56" w:rsidRPr="004645E8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>โดยโอนเงิน</w:t>
      </w:r>
      <w:r w:rsidR="00511D56" w:rsidRPr="004645E8">
        <w:rPr>
          <w:rFonts w:ascii="DilleniaUPC" w:hAnsi="DilleniaUPC" w:cs="DilleniaUPC" w:hint="cs"/>
          <w:sz w:val="30"/>
          <w:szCs w:val="30"/>
          <w:cs/>
        </w:rPr>
        <w:t>ให้ผู้จองซื้อหลักทรัพย์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>ผ่านบัญชีธนาคารตามที่ระบุไว้ในใบจองซื้อหลักทรัพย์ภายใน 7 วันทำการ หรือสั่งจ่ายเช็คในนามผู้จองซื้อหลักทรัพย์ภายใน 10 วันทำการ</w:t>
      </w:r>
      <w:r w:rsidR="009C2008" w:rsidRPr="004645E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C2008" w:rsidRPr="004645E8">
        <w:rPr>
          <w:rFonts w:ascii="DilleniaUPC" w:hAnsi="DilleniaUPC" w:cs="DilleniaUPC"/>
          <w:sz w:val="30"/>
          <w:szCs w:val="30"/>
          <w:cs/>
        </w:rPr>
        <w:t>นับ</w:t>
      </w:r>
      <w:r w:rsidR="00332208" w:rsidRPr="004645E8">
        <w:rPr>
          <w:rFonts w:ascii="DilleniaUPC" w:hAnsi="DilleniaUPC" w:cs="DilleniaUPC" w:hint="cs"/>
          <w:sz w:val="30"/>
          <w:szCs w:val="30"/>
          <w:cs/>
        </w:rPr>
        <w:t xml:space="preserve">ตั้งแต่วันปิดการเสนอขาย </w:t>
      </w:r>
      <w:r w:rsidR="009C2008" w:rsidRPr="004645E8">
        <w:rPr>
          <w:rFonts w:ascii="DilleniaUPC" w:hAnsi="DilleniaUPC" w:cs="DilleniaUPC" w:hint="cs"/>
          <w:sz w:val="30"/>
          <w:szCs w:val="30"/>
          <w:cs/>
        </w:rPr>
        <w:t>วันที่สิ้นสุดระยะเวลายกเลิกการจองซื้อหลักทรัพย์ หรือวันที่</w:t>
      </w:r>
      <w:r w:rsidR="004645E8" w:rsidRPr="004645E8">
        <w:rPr>
          <w:rFonts w:ascii="DilleniaUPC" w:hAnsi="DilleniaUPC" w:cs="DilleniaUPC" w:hint="cs"/>
          <w:sz w:val="30"/>
          <w:szCs w:val="30"/>
          <w:cs/>
        </w:rPr>
        <w:t>ปรากฏ</w:t>
      </w:r>
      <w:r w:rsidR="009C2008" w:rsidRPr="004645E8">
        <w:rPr>
          <w:rFonts w:ascii="DilleniaUPC" w:hAnsi="DilleniaUPC" w:cs="DilleniaUPC" w:hint="cs"/>
          <w:sz w:val="30"/>
          <w:szCs w:val="30"/>
          <w:cs/>
        </w:rPr>
        <w:t>ข้อเท็จจริงที่เป็นเหตุแห่งการยกเลิกการเสนอขายหลักทรัพย์ แล้วแต่กรณี</w:t>
      </w:r>
    </w:p>
    <w:p w:rsidR="00CA2B09" w:rsidRPr="00907684" w:rsidRDefault="00CA2B09" w:rsidP="004645E8">
      <w:pPr>
        <w:tabs>
          <w:tab w:val="left" w:pos="1276"/>
        </w:tabs>
        <w:ind w:left="720" w:right="-64" w:hanging="11"/>
        <w:jc w:val="thaiDistribute"/>
        <w:rPr>
          <w:rFonts w:ascii="DilleniaUPC" w:hAnsi="DilleniaUPC" w:cs="DilleniaUPC"/>
          <w:sz w:val="30"/>
          <w:szCs w:val="30"/>
        </w:rPr>
      </w:pPr>
    </w:p>
    <w:p w:rsidR="00523BBF" w:rsidRPr="00516DD1" w:rsidRDefault="00523BBF" w:rsidP="00523BBF">
      <w:pPr>
        <w:ind w:right="-62" w:firstLine="720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/>
          <w:sz w:val="30"/>
          <w:szCs w:val="30"/>
          <w:cs/>
        </w:rPr>
        <w:t>ป</w:t>
      </w:r>
      <w:r>
        <w:rPr>
          <w:rFonts w:ascii="DilleniaUPC" w:hAnsi="DilleniaUPC" w:cs="DilleniaUPC"/>
          <w:sz w:val="30"/>
          <w:szCs w:val="30"/>
          <w:cs/>
        </w:rPr>
        <w:t>ระกาศนี้มีผลบังคับตั้งแต่วันที่</w:t>
      </w:r>
      <w:r>
        <w:rPr>
          <w:rFonts w:ascii="DilleniaUPC" w:hAnsi="DilleniaUPC" w:cs="DilleniaUPC" w:hint="cs"/>
          <w:sz w:val="30"/>
          <w:szCs w:val="30"/>
          <w:cs/>
        </w:rPr>
        <w:t xml:space="preserve"> 1</w:t>
      </w:r>
      <w:r w:rsidRPr="00907684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มีนาคม</w:t>
      </w:r>
      <w:r w:rsidRPr="00907684">
        <w:rPr>
          <w:rFonts w:ascii="DilleniaUPC" w:hAnsi="DilleniaUPC" w:cs="DilleniaUPC"/>
          <w:sz w:val="30"/>
          <w:szCs w:val="30"/>
          <w:cs/>
        </w:rPr>
        <w:t xml:space="preserve"> 25</w:t>
      </w:r>
      <w:r>
        <w:rPr>
          <w:rFonts w:ascii="DilleniaUPC" w:hAnsi="DilleniaUPC" w:cs="DilleniaUPC" w:hint="cs"/>
          <w:sz w:val="30"/>
          <w:szCs w:val="30"/>
          <w:cs/>
        </w:rPr>
        <w:t xml:space="preserve">60 </w:t>
      </w:r>
      <w:r w:rsidRPr="00516DD1">
        <w:rPr>
          <w:rFonts w:ascii="DilleniaUPC" w:hAnsi="DilleniaUPC" w:cs="DilleniaUPC"/>
          <w:sz w:val="30"/>
          <w:szCs w:val="30"/>
          <w:cs/>
        </w:rPr>
        <w:t>เป็นต้นไป</w:t>
      </w:r>
    </w:p>
    <w:p w:rsidR="00D677F0" w:rsidRPr="00907684" w:rsidRDefault="00D677F0" w:rsidP="004645E8">
      <w:pPr>
        <w:tabs>
          <w:tab w:val="left" w:pos="1080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D677F0" w:rsidRPr="00907684" w:rsidRDefault="00D677F0" w:rsidP="004645E8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</w:r>
      <w:r w:rsidRPr="00907684">
        <w:rPr>
          <w:rFonts w:ascii="DilleniaUPC" w:hAnsi="DilleniaUPC" w:cs="DilleniaUPC"/>
          <w:sz w:val="30"/>
          <w:szCs w:val="30"/>
          <w:cs/>
        </w:rPr>
        <w:tab/>
        <w:t xml:space="preserve">ประกาศ ณ วันที่ </w:t>
      </w:r>
      <w:r w:rsidR="003D0CCB" w:rsidRPr="0090768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23BBF">
        <w:rPr>
          <w:rFonts w:ascii="DilleniaUPC" w:hAnsi="DilleniaUPC" w:cs="DilleniaUPC" w:hint="cs"/>
          <w:sz w:val="30"/>
          <w:szCs w:val="30"/>
          <w:cs/>
        </w:rPr>
        <w:t>28</w:t>
      </w:r>
      <w:r w:rsidR="00E42650" w:rsidRPr="0090768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23BBF">
        <w:rPr>
          <w:rFonts w:ascii="DilleniaUPC" w:hAnsi="DilleniaUPC" w:cs="DilleniaUPC" w:hint="cs"/>
          <w:sz w:val="30"/>
          <w:szCs w:val="30"/>
          <w:cs/>
        </w:rPr>
        <w:t>กุมภาพันธ์</w:t>
      </w:r>
      <w:r w:rsidR="003C483C" w:rsidRPr="00907684">
        <w:rPr>
          <w:rFonts w:ascii="DilleniaUPC" w:hAnsi="DilleniaUPC" w:cs="DilleniaUPC"/>
          <w:sz w:val="30"/>
          <w:szCs w:val="30"/>
          <w:cs/>
        </w:rPr>
        <w:t xml:space="preserve"> </w:t>
      </w:r>
      <w:r w:rsidRPr="00907684">
        <w:rPr>
          <w:rFonts w:ascii="DilleniaUPC" w:hAnsi="DilleniaUPC" w:cs="DilleniaUPC"/>
          <w:sz w:val="30"/>
          <w:szCs w:val="30"/>
          <w:cs/>
        </w:rPr>
        <w:t>25</w:t>
      </w:r>
      <w:r w:rsidR="00332208">
        <w:rPr>
          <w:rFonts w:ascii="DilleniaUPC" w:hAnsi="DilleniaUPC" w:cs="DilleniaUPC" w:hint="cs"/>
          <w:sz w:val="30"/>
          <w:szCs w:val="30"/>
          <w:cs/>
        </w:rPr>
        <w:t>60</w:t>
      </w:r>
    </w:p>
    <w:p w:rsidR="00D677F0" w:rsidRPr="00907684" w:rsidRDefault="00D677F0" w:rsidP="004645E8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</w:r>
      <w:r w:rsidRPr="00907684">
        <w:rPr>
          <w:rFonts w:ascii="DilleniaUPC" w:hAnsi="DilleniaUPC" w:cs="DilleniaUPC"/>
          <w:sz w:val="30"/>
          <w:szCs w:val="30"/>
          <w:cs/>
        </w:rPr>
        <w:tab/>
      </w:r>
    </w:p>
    <w:p w:rsidR="00D677F0" w:rsidRPr="00907684" w:rsidRDefault="00D677F0" w:rsidP="004645E8">
      <w:pPr>
        <w:pStyle w:val="BodyText"/>
        <w:tabs>
          <w:tab w:val="left" w:pos="567"/>
          <w:tab w:val="center" w:pos="5400"/>
        </w:tabs>
        <w:spacing w:after="0"/>
        <w:ind w:right="-64"/>
        <w:jc w:val="thaiDistribute"/>
        <w:rPr>
          <w:rFonts w:ascii="DilleniaUPC" w:eastAsia="MS Mincho" w:hAnsi="DilleniaUPC" w:cs="DilleniaUPC"/>
          <w:sz w:val="30"/>
          <w:szCs w:val="30"/>
          <w:lang w:eastAsia="ja-JP"/>
        </w:rPr>
      </w:pPr>
    </w:p>
    <w:p w:rsidR="00D677F0" w:rsidRPr="003B7766" w:rsidRDefault="00D677F0" w:rsidP="004645E8">
      <w:pPr>
        <w:pStyle w:val="BodyText"/>
        <w:tabs>
          <w:tab w:val="left" w:pos="567"/>
          <w:tab w:val="center" w:pos="5400"/>
        </w:tabs>
        <w:spacing w:after="0"/>
        <w:ind w:right="-64"/>
        <w:jc w:val="thaiDistribute"/>
        <w:rPr>
          <w:rFonts w:ascii="DilleniaUPC" w:eastAsia="MS Mincho" w:hAnsi="DilleniaUPC" w:cs="DilleniaUPC"/>
          <w:sz w:val="40"/>
          <w:szCs w:val="40"/>
          <w:cs/>
          <w:lang w:eastAsia="ja-JP"/>
        </w:rPr>
      </w:pPr>
    </w:p>
    <w:p w:rsidR="00D677F0" w:rsidRPr="00907684" w:rsidRDefault="00D677F0" w:rsidP="004645E8">
      <w:pPr>
        <w:tabs>
          <w:tab w:val="center" w:pos="5812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  <w:t>(นาง</w:t>
      </w:r>
      <w:proofErr w:type="spellStart"/>
      <w:r w:rsidRPr="00907684">
        <w:rPr>
          <w:rFonts w:ascii="DilleniaUPC" w:hAnsi="DilleniaUPC" w:cs="DilleniaUPC"/>
          <w:sz w:val="30"/>
          <w:szCs w:val="30"/>
          <w:cs/>
        </w:rPr>
        <w:t>ภัทธี</w:t>
      </w:r>
      <w:proofErr w:type="spellEnd"/>
      <w:r w:rsidRPr="00907684">
        <w:rPr>
          <w:rFonts w:ascii="DilleniaUPC" w:hAnsi="DilleniaUPC" w:cs="DilleniaUPC"/>
          <w:sz w:val="30"/>
          <w:szCs w:val="30"/>
          <w:cs/>
        </w:rPr>
        <w:t>รา  ดิลก</w:t>
      </w:r>
      <w:proofErr w:type="spellStart"/>
      <w:r w:rsidRPr="00907684">
        <w:rPr>
          <w:rFonts w:ascii="DilleniaUPC" w:hAnsi="DilleniaUPC" w:cs="DilleniaUPC"/>
          <w:sz w:val="30"/>
          <w:szCs w:val="30"/>
          <w:cs/>
        </w:rPr>
        <w:t>รุ่งธี</w:t>
      </w:r>
      <w:proofErr w:type="spellEnd"/>
      <w:r w:rsidRPr="00907684">
        <w:rPr>
          <w:rFonts w:ascii="DilleniaUPC" w:hAnsi="DilleniaUPC" w:cs="DilleniaUPC"/>
          <w:sz w:val="30"/>
          <w:szCs w:val="30"/>
          <w:cs/>
        </w:rPr>
        <w:t>ระภพ)</w:t>
      </w:r>
    </w:p>
    <w:p w:rsidR="00D677F0" w:rsidRPr="00907684" w:rsidRDefault="00D677F0" w:rsidP="004645E8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</w:r>
      <w:r w:rsidR="003C483C">
        <w:rPr>
          <w:rFonts w:ascii="DilleniaUPC" w:hAnsi="DilleniaUPC" w:cs="DilleniaUPC" w:hint="cs"/>
          <w:sz w:val="30"/>
          <w:szCs w:val="30"/>
          <w:cs/>
        </w:rPr>
        <w:tab/>
      </w:r>
      <w:r w:rsidRPr="00907684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p w:rsidR="001E0341" w:rsidRPr="00907684" w:rsidRDefault="001E0341" w:rsidP="004645E8">
      <w:pPr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4F6C07" w:rsidRPr="003762C7" w:rsidRDefault="004F6C07" w:rsidP="004645E8">
      <w:pPr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11539E" w:rsidRPr="003762C7" w:rsidRDefault="0011539E" w:rsidP="004645E8">
      <w:pPr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sectPr w:rsidR="0011539E" w:rsidRPr="003762C7" w:rsidSect="003762C7">
      <w:footerReference w:type="default" r:id="rId9"/>
      <w:pgSz w:w="11906" w:h="16838"/>
      <w:pgMar w:top="1134" w:right="1376" w:bottom="1418" w:left="180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84" w:rsidRDefault="00C42884" w:rsidP="00A87D06">
      <w:r>
        <w:separator/>
      </w:r>
    </w:p>
  </w:endnote>
  <w:endnote w:type="continuationSeparator" w:id="0">
    <w:p w:rsidR="00C42884" w:rsidRDefault="00C42884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84" w:rsidRDefault="0065371E" w:rsidP="0047748A">
    <w:pPr>
      <w:pStyle w:val="Footer"/>
      <w:ind w:right="-483"/>
      <w:jc w:val="right"/>
    </w:pPr>
    <w:r w:rsidRPr="0065371E">
      <w:rPr>
        <w:rFonts w:ascii="DilleniaUPC" w:hAnsi="DilleniaUPC" w:cs="DilleniaUPC" w:hint="cs"/>
        <w:sz w:val="28"/>
        <w:cs/>
      </w:rPr>
      <w:t>การจ่ายคืนเงินค่าจองซื้อหลักทรัพย์</w:t>
    </w:r>
    <w:r>
      <w:rPr>
        <w:rFonts w:ascii="DilleniaUPC" w:hAnsi="DilleniaUPC" w:cs="DilleniaUPC" w:hint="cs"/>
        <w:b/>
        <w:bCs/>
        <w:sz w:val="28"/>
        <w:cs/>
      </w:rPr>
      <w:t xml:space="preserve"> </w:t>
    </w:r>
    <w:r w:rsidR="00907684" w:rsidRPr="00AF2F1F">
      <w:rPr>
        <w:rFonts w:ascii="DilleniaUPC" w:hAnsi="DilleniaUPC" w:cs="DilleniaUPC"/>
        <w:sz w:val="28"/>
        <w:cs/>
      </w:rPr>
      <w:t>หน้า</w:t>
    </w:r>
    <w:r w:rsidR="00907684" w:rsidRPr="00AF2F1F">
      <w:rPr>
        <w:rFonts w:ascii="DilleniaUPC" w:hAnsi="DilleniaUPC" w:cs="DilleniaUPC"/>
        <w:sz w:val="28"/>
      </w:rPr>
      <w:t xml:space="preserve"> </w:t>
    </w:r>
    <w:r w:rsidR="00907684" w:rsidRPr="00AF2F1F">
      <w:rPr>
        <w:rFonts w:ascii="DilleniaUPC" w:hAnsi="DilleniaUPC" w:cs="DilleniaUPC"/>
        <w:sz w:val="28"/>
      </w:rPr>
      <w:fldChar w:fldCharType="begin"/>
    </w:r>
    <w:r w:rsidR="00907684" w:rsidRPr="00AF2F1F">
      <w:rPr>
        <w:rFonts w:ascii="DilleniaUPC" w:hAnsi="DilleniaUPC" w:cs="DilleniaUPC"/>
        <w:sz w:val="28"/>
      </w:rPr>
      <w:instrText xml:space="preserve"> PAGE </w:instrText>
    </w:r>
    <w:r w:rsidR="00907684" w:rsidRPr="00AF2F1F">
      <w:rPr>
        <w:rFonts w:ascii="DilleniaUPC" w:hAnsi="DilleniaUPC" w:cs="DilleniaUPC"/>
        <w:sz w:val="28"/>
      </w:rPr>
      <w:fldChar w:fldCharType="separate"/>
    </w:r>
    <w:r w:rsidR="00464CC0">
      <w:rPr>
        <w:rFonts w:ascii="DilleniaUPC" w:hAnsi="DilleniaUPC" w:cs="DilleniaUPC"/>
        <w:noProof/>
        <w:sz w:val="28"/>
      </w:rPr>
      <w:t>1</w:t>
    </w:r>
    <w:r w:rsidR="00907684" w:rsidRPr="00AF2F1F">
      <w:rPr>
        <w:rFonts w:ascii="DilleniaUPC" w:hAnsi="DilleniaUPC" w:cs="DilleniaUPC"/>
        <w:sz w:val="28"/>
      </w:rPr>
      <w:fldChar w:fldCharType="end"/>
    </w:r>
    <w:r w:rsidR="00907684" w:rsidRPr="00AF2F1F">
      <w:rPr>
        <w:rFonts w:ascii="DilleniaUPC" w:hAnsi="DilleniaUPC" w:cs="DilleniaUPC"/>
        <w:sz w:val="28"/>
      </w:rPr>
      <w:t xml:space="preserve"> / </w:t>
    </w:r>
    <w:r w:rsidR="00907684" w:rsidRPr="00AF2F1F">
      <w:rPr>
        <w:rFonts w:ascii="DilleniaUPC" w:hAnsi="DilleniaUPC" w:cs="DilleniaUPC"/>
        <w:sz w:val="28"/>
      </w:rPr>
      <w:fldChar w:fldCharType="begin"/>
    </w:r>
    <w:r w:rsidR="00907684" w:rsidRPr="00AF2F1F">
      <w:rPr>
        <w:rFonts w:ascii="DilleniaUPC" w:hAnsi="DilleniaUPC" w:cs="DilleniaUPC"/>
        <w:sz w:val="28"/>
      </w:rPr>
      <w:instrText xml:space="preserve"> NUMPAGES  </w:instrText>
    </w:r>
    <w:r w:rsidR="00907684" w:rsidRPr="00AF2F1F">
      <w:rPr>
        <w:rFonts w:ascii="DilleniaUPC" w:hAnsi="DilleniaUPC" w:cs="DilleniaUPC"/>
        <w:sz w:val="28"/>
      </w:rPr>
      <w:fldChar w:fldCharType="separate"/>
    </w:r>
    <w:r w:rsidR="00464CC0">
      <w:rPr>
        <w:rFonts w:ascii="DilleniaUPC" w:hAnsi="DilleniaUPC" w:cs="DilleniaUPC"/>
        <w:noProof/>
        <w:sz w:val="28"/>
      </w:rPr>
      <w:t>2</w:t>
    </w:r>
    <w:r w:rsidR="00907684" w:rsidRPr="00AF2F1F">
      <w:rPr>
        <w:rFonts w:ascii="DilleniaUPC" w:hAnsi="DilleniaUPC" w:cs="DilleniaUPC"/>
        <w:sz w:val="28"/>
      </w:rPr>
      <w:fldChar w:fldCharType="end"/>
    </w:r>
  </w:p>
  <w:p w:rsidR="00907684" w:rsidRDefault="00907684" w:rsidP="00477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84" w:rsidRDefault="00C42884" w:rsidP="00A87D06">
      <w:r>
        <w:separator/>
      </w:r>
    </w:p>
  </w:footnote>
  <w:footnote w:type="continuationSeparator" w:id="0">
    <w:p w:rsidR="00C42884" w:rsidRDefault="00C42884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2A"/>
    <w:multiLevelType w:val="hybridMultilevel"/>
    <w:tmpl w:val="604CB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7D3DA6"/>
    <w:multiLevelType w:val="multilevel"/>
    <w:tmpl w:val="1294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="DilleniaUPC" w:eastAsia="Batang" w:hAnsi="DilleniaUPC" w:cs="DilleniaUPC"/>
      </w:rPr>
    </w:lvl>
    <w:lvl w:ilvl="2">
      <w:start w:val="1"/>
      <w:numFmt w:val="thaiLetters"/>
      <w:lvlText w:val="(%3)"/>
      <w:lvlJc w:val="left"/>
      <w:pPr>
        <w:ind w:left="1224" w:hanging="504"/>
      </w:pPr>
      <w:rPr>
        <w:rFonts w:ascii="DilleniaUPC" w:eastAsia="Batang" w:hAnsi="DilleniaUPC" w:cs="DilleniaUP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monwan Thichakoonjaroensuk">
    <w15:presenceInfo w15:providerId="AD" w15:userId="S-1-5-21-388457531-2012550949-328166375-11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3"/>
    <w:rsid w:val="00000EA1"/>
    <w:rsid w:val="000025E8"/>
    <w:rsid w:val="000040E3"/>
    <w:rsid w:val="000061DD"/>
    <w:rsid w:val="00031F50"/>
    <w:rsid w:val="000363B8"/>
    <w:rsid w:val="000453B1"/>
    <w:rsid w:val="00056506"/>
    <w:rsid w:val="00060532"/>
    <w:rsid w:val="00074D26"/>
    <w:rsid w:val="00087310"/>
    <w:rsid w:val="00091429"/>
    <w:rsid w:val="000A499B"/>
    <w:rsid w:val="000C547E"/>
    <w:rsid w:val="000D3EFA"/>
    <w:rsid w:val="000E1230"/>
    <w:rsid w:val="000F467E"/>
    <w:rsid w:val="000F78FE"/>
    <w:rsid w:val="00101C43"/>
    <w:rsid w:val="0011539E"/>
    <w:rsid w:val="00125CBF"/>
    <w:rsid w:val="00140ED2"/>
    <w:rsid w:val="00147E55"/>
    <w:rsid w:val="00151A46"/>
    <w:rsid w:val="00165439"/>
    <w:rsid w:val="00166C19"/>
    <w:rsid w:val="0017238C"/>
    <w:rsid w:val="00177202"/>
    <w:rsid w:val="0018338D"/>
    <w:rsid w:val="00191097"/>
    <w:rsid w:val="001B7E14"/>
    <w:rsid w:val="001C19A0"/>
    <w:rsid w:val="001C2E75"/>
    <w:rsid w:val="001D3BB6"/>
    <w:rsid w:val="001E0341"/>
    <w:rsid w:val="001F1086"/>
    <w:rsid w:val="00224D99"/>
    <w:rsid w:val="002251E1"/>
    <w:rsid w:val="002345E6"/>
    <w:rsid w:val="00236194"/>
    <w:rsid w:val="002539A6"/>
    <w:rsid w:val="002542E2"/>
    <w:rsid w:val="002659D4"/>
    <w:rsid w:val="0027057B"/>
    <w:rsid w:val="00296057"/>
    <w:rsid w:val="002B11C0"/>
    <w:rsid w:val="002D3CE3"/>
    <w:rsid w:val="002F1ADB"/>
    <w:rsid w:val="002F1FB1"/>
    <w:rsid w:val="00303E7D"/>
    <w:rsid w:val="00317693"/>
    <w:rsid w:val="00325F76"/>
    <w:rsid w:val="003303AE"/>
    <w:rsid w:val="00332208"/>
    <w:rsid w:val="003337CB"/>
    <w:rsid w:val="00352A2C"/>
    <w:rsid w:val="003566DE"/>
    <w:rsid w:val="00366D91"/>
    <w:rsid w:val="00370B71"/>
    <w:rsid w:val="00372E6B"/>
    <w:rsid w:val="003762C7"/>
    <w:rsid w:val="00386C64"/>
    <w:rsid w:val="00387A3C"/>
    <w:rsid w:val="003935FA"/>
    <w:rsid w:val="003A30B5"/>
    <w:rsid w:val="003B7766"/>
    <w:rsid w:val="003C350C"/>
    <w:rsid w:val="003C483C"/>
    <w:rsid w:val="003D0CCB"/>
    <w:rsid w:val="003D5A0E"/>
    <w:rsid w:val="003D5EB6"/>
    <w:rsid w:val="003D7D52"/>
    <w:rsid w:val="00415311"/>
    <w:rsid w:val="00417636"/>
    <w:rsid w:val="00420AAC"/>
    <w:rsid w:val="004279F8"/>
    <w:rsid w:val="004306CB"/>
    <w:rsid w:val="0044658A"/>
    <w:rsid w:val="004529FB"/>
    <w:rsid w:val="004645E8"/>
    <w:rsid w:val="00464CC0"/>
    <w:rsid w:val="00466BD8"/>
    <w:rsid w:val="0046755F"/>
    <w:rsid w:val="0047748A"/>
    <w:rsid w:val="00481BAC"/>
    <w:rsid w:val="00483821"/>
    <w:rsid w:val="004846CB"/>
    <w:rsid w:val="00490C6F"/>
    <w:rsid w:val="00493EB2"/>
    <w:rsid w:val="004A24F6"/>
    <w:rsid w:val="004A52BA"/>
    <w:rsid w:val="004B46DD"/>
    <w:rsid w:val="004B4D53"/>
    <w:rsid w:val="004D2D0F"/>
    <w:rsid w:val="004D4BAF"/>
    <w:rsid w:val="004D68D8"/>
    <w:rsid w:val="004F6C07"/>
    <w:rsid w:val="004F7FC4"/>
    <w:rsid w:val="00511D56"/>
    <w:rsid w:val="00517432"/>
    <w:rsid w:val="005175CD"/>
    <w:rsid w:val="00523BBF"/>
    <w:rsid w:val="0053064D"/>
    <w:rsid w:val="00533299"/>
    <w:rsid w:val="00546830"/>
    <w:rsid w:val="00550282"/>
    <w:rsid w:val="00562CEE"/>
    <w:rsid w:val="00574649"/>
    <w:rsid w:val="00580C6E"/>
    <w:rsid w:val="00581080"/>
    <w:rsid w:val="005D15D6"/>
    <w:rsid w:val="005D4AE9"/>
    <w:rsid w:val="005F2B80"/>
    <w:rsid w:val="00606777"/>
    <w:rsid w:val="00607C48"/>
    <w:rsid w:val="00611AD6"/>
    <w:rsid w:val="006133AF"/>
    <w:rsid w:val="00617129"/>
    <w:rsid w:val="00622E9F"/>
    <w:rsid w:val="006264C3"/>
    <w:rsid w:val="00643429"/>
    <w:rsid w:val="0065371E"/>
    <w:rsid w:val="006661F1"/>
    <w:rsid w:val="0067248D"/>
    <w:rsid w:val="00674651"/>
    <w:rsid w:val="00675617"/>
    <w:rsid w:val="00676D67"/>
    <w:rsid w:val="0068507E"/>
    <w:rsid w:val="00690143"/>
    <w:rsid w:val="006913EB"/>
    <w:rsid w:val="006922BD"/>
    <w:rsid w:val="006A3D95"/>
    <w:rsid w:val="006A69E2"/>
    <w:rsid w:val="006B203F"/>
    <w:rsid w:val="006C762D"/>
    <w:rsid w:val="006D7555"/>
    <w:rsid w:val="006F7B9B"/>
    <w:rsid w:val="0071174C"/>
    <w:rsid w:val="00712F66"/>
    <w:rsid w:val="00714269"/>
    <w:rsid w:val="007267C3"/>
    <w:rsid w:val="00731835"/>
    <w:rsid w:val="0073226D"/>
    <w:rsid w:val="007475A8"/>
    <w:rsid w:val="00762395"/>
    <w:rsid w:val="00765461"/>
    <w:rsid w:val="00765A72"/>
    <w:rsid w:val="00766E81"/>
    <w:rsid w:val="007720AA"/>
    <w:rsid w:val="00780B66"/>
    <w:rsid w:val="00785C36"/>
    <w:rsid w:val="00793612"/>
    <w:rsid w:val="00793850"/>
    <w:rsid w:val="007A00A4"/>
    <w:rsid w:val="007A04CA"/>
    <w:rsid w:val="007A321B"/>
    <w:rsid w:val="007A4100"/>
    <w:rsid w:val="007A5A83"/>
    <w:rsid w:val="007A5B52"/>
    <w:rsid w:val="007B2B3B"/>
    <w:rsid w:val="007C330B"/>
    <w:rsid w:val="007D6785"/>
    <w:rsid w:val="007F6267"/>
    <w:rsid w:val="008067C7"/>
    <w:rsid w:val="0080750D"/>
    <w:rsid w:val="00810F78"/>
    <w:rsid w:val="00812E10"/>
    <w:rsid w:val="008155CC"/>
    <w:rsid w:val="008353E3"/>
    <w:rsid w:val="0083624C"/>
    <w:rsid w:val="0083654A"/>
    <w:rsid w:val="00873698"/>
    <w:rsid w:val="00875727"/>
    <w:rsid w:val="008840C7"/>
    <w:rsid w:val="008856CF"/>
    <w:rsid w:val="008908A1"/>
    <w:rsid w:val="00894FE4"/>
    <w:rsid w:val="008951FF"/>
    <w:rsid w:val="008A1CCC"/>
    <w:rsid w:val="008B2081"/>
    <w:rsid w:val="008C3FBF"/>
    <w:rsid w:val="008D4261"/>
    <w:rsid w:val="008D4747"/>
    <w:rsid w:val="008D56A1"/>
    <w:rsid w:val="008E1A8B"/>
    <w:rsid w:val="008F09BC"/>
    <w:rsid w:val="008F7046"/>
    <w:rsid w:val="00907684"/>
    <w:rsid w:val="009168F0"/>
    <w:rsid w:val="00917C51"/>
    <w:rsid w:val="00920922"/>
    <w:rsid w:val="00930409"/>
    <w:rsid w:val="00934B82"/>
    <w:rsid w:val="00935813"/>
    <w:rsid w:val="00955A6C"/>
    <w:rsid w:val="00957E5E"/>
    <w:rsid w:val="009679DD"/>
    <w:rsid w:val="00971E21"/>
    <w:rsid w:val="00980E49"/>
    <w:rsid w:val="00982AE8"/>
    <w:rsid w:val="00994652"/>
    <w:rsid w:val="009B2ABE"/>
    <w:rsid w:val="009B7E59"/>
    <w:rsid w:val="009C2008"/>
    <w:rsid w:val="009D1BD4"/>
    <w:rsid w:val="009F6832"/>
    <w:rsid w:val="009F696D"/>
    <w:rsid w:val="00A10C33"/>
    <w:rsid w:val="00A10FF9"/>
    <w:rsid w:val="00A12389"/>
    <w:rsid w:val="00A1433A"/>
    <w:rsid w:val="00A20913"/>
    <w:rsid w:val="00A24912"/>
    <w:rsid w:val="00A35B5E"/>
    <w:rsid w:val="00A41004"/>
    <w:rsid w:val="00A74429"/>
    <w:rsid w:val="00A87D06"/>
    <w:rsid w:val="00AB2651"/>
    <w:rsid w:val="00AC4768"/>
    <w:rsid w:val="00AC5831"/>
    <w:rsid w:val="00AE6363"/>
    <w:rsid w:val="00AE7138"/>
    <w:rsid w:val="00AF2B86"/>
    <w:rsid w:val="00AF2F1F"/>
    <w:rsid w:val="00B02C2F"/>
    <w:rsid w:val="00B33EC1"/>
    <w:rsid w:val="00B40EA6"/>
    <w:rsid w:val="00B44179"/>
    <w:rsid w:val="00B51F91"/>
    <w:rsid w:val="00B603F4"/>
    <w:rsid w:val="00B75A2D"/>
    <w:rsid w:val="00B82FCC"/>
    <w:rsid w:val="00B86D04"/>
    <w:rsid w:val="00B956D4"/>
    <w:rsid w:val="00BA1785"/>
    <w:rsid w:val="00BA792B"/>
    <w:rsid w:val="00BB110F"/>
    <w:rsid w:val="00BB6ECB"/>
    <w:rsid w:val="00BC1013"/>
    <w:rsid w:val="00BC1A56"/>
    <w:rsid w:val="00BD0CFC"/>
    <w:rsid w:val="00BD42F3"/>
    <w:rsid w:val="00BD7D54"/>
    <w:rsid w:val="00BE01FA"/>
    <w:rsid w:val="00BE2927"/>
    <w:rsid w:val="00BE7A8D"/>
    <w:rsid w:val="00BF6813"/>
    <w:rsid w:val="00BF6C35"/>
    <w:rsid w:val="00C01582"/>
    <w:rsid w:val="00C02447"/>
    <w:rsid w:val="00C06CED"/>
    <w:rsid w:val="00C1315A"/>
    <w:rsid w:val="00C16FAF"/>
    <w:rsid w:val="00C42884"/>
    <w:rsid w:val="00C44646"/>
    <w:rsid w:val="00C506EA"/>
    <w:rsid w:val="00C55CC1"/>
    <w:rsid w:val="00C647CA"/>
    <w:rsid w:val="00CA2355"/>
    <w:rsid w:val="00CA2B09"/>
    <w:rsid w:val="00CA467E"/>
    <w:rsid w:val="00CA56BC"/>
    <w:rsid w:val="00CB3D0A"/>
    <w:rsid w:val="00CC3A7E"/>
    <w:rsid w:val="00CD196F"/>
    <w:rsid w:val="00CF2A71"/>
    <w:rsid w:val="00CF2B10"/>
    <w:rsid w:val="00D146A0"/>
    <w:rsid w:val="00D34581"/>
    <w:rsid w:val="00D366E8"/>
    <w:rsid w:val="00D55580"/>
    <w:rsid w:val="00D57482"/>
    <w:rsid w:val="00D62CBB"/>
    <w:rsid w:val="00D677F0"/>
    <w:rsid w:val="00D763F9"/>
    <w:rsid w:val="00D8211F"/>
    <w:rsid w:val="00DA7F0B"/>
    <w:rsid w:val="00DB12B9"/>
    <w:rsid w:val="00DD06CF"/>
    <w:rsid w:val="00DD375D"/>
    <w:rsid w:val="00DE4998"/>
    <w:rsid w:val="00DF1922"/>
    <w:rsid w:val="00E0472A"/>
    <w:rsid w:val="00E20ED9"/>
    <w:rsid w:val="00E21D1A"/>
    <w:rsid w:val="00E24F02"/>
    <w:rsid w:val="00E32613"/>
    <w:rsid w:val="00E3774C"/>
    <w:rsid w:val="00E42650"/>
    <w:rsid w:val="00E45724"/>
    <w:rsid w:val="00E53871"/>
    <w:rsid w:val="00E65B2E"/>
    <w:rsid w:val="00E65EA9"/>
    <w:rsid w:val="00E66721"/>
    <w:rsid w:val="00E87C51"/>
    <w:rsid w:val="00EA2377"/>
    <w:rsid w:val="00EB7E10"/>
    <w:rsid w:val="00EC18C4"/>
    <w:rsid w:val="00EC1F05"/>
    <w:rsid w:val="00F05C35"/>
    <w:rsid w:val="00F117BB"/>
    <w:rsid w:val="00F32B81"/>
    <w:rsid w:val="00F4227C"/>
    <w:rsid w:val="00F55378"/>
    <w:rsid w:val="00F55942"/>
    <w:rsid w:val="00F67454"/>
    <w:rsid w:val="00F7196A"/>
    <w:rsid w:val="00F72021"/>
    <w:rsid w:val="00F8143C"/>
    <w:rsid w:val="00F87658"/>
    <w:rsid w:val="00F90132"/>
    <w:rsid w:val="00FA2EDE"/>
    <w:rsid w:val="00FB2FD4"/>
    <w:rsid w:val="00FD1BF4"/>
    <w:rsid w:val="00FE393B"/>
    <w:rsid w:val="00FE674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8E00-6E26-4DFF-8DD4-BE7296C4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user3</cp:lastModifiedBy>
  <cp:revision>4</cp:revision>
  <cp:lastPrinted>2017-02-21T02:21:00Z</cp:lastPrinted>
  <dcterms:created xsi:type="dcterms:W3CDTF">2017-02-27T06:32:00Z</dcterms:created>
  <dcterms:modified xsi:type="dcterms:W3CDTF">2017-03-01T03:52:00Z</dcterms:modified>
</cp:coreProperties>
</file>