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7CCC" w14:textId="77777777" w:rsidR="00303E7D" w:rsidRDefault="00303E7D" w:rsidP="003762C7">
      <w:pPr>
        <w:ind w:right="-64"/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14:paraId="5586A01C" w14:textId="77777777" w:rsidR="009E22EF" w:rsidRPr="003762C7" w:rsidRDefault="009E22EF" w:rsidP="003762C7">
      <w:pPr>
        <w:ind w:right="-64"/>
        <w:rPr>
          <w:rFonts w:ascii="DilleniaUPC" w:hAnsi="DilleniaUPC" w:cs="DilleniaUPC"/>
          <w:b/>
          <w:bCs/>
          <w:sz w:val="30"/>
          <w:szCs w:val="30"/>
          <w:cs/>
        </w:rPr>
      </w:pPr>
    </w:p>
    <w:p w14:paraId="28B931B5" w14:textId="77777777" w:rsidR="0044658A" w:rsidRPr="003762C7" w:rsidRDefault="0044658A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14:paraId="63B4B6EE" w14:textId="77777777" w:rsidR="000040E3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</w:t>
      </w:r>
      <w:r w:rsidR="006F7B9B" w:rsidRPr="00CD196F">
        <w:rPr>
          <w:rFonts w:ascii="DilleniaUPC" w:hAnsi="DilleniaUPC" w:cs="DilleniaUPC"/>
          <w:b/>
          <w:bCs/>
          <w:sz w:val="36"/>
          <w:szCs w:val="36"/>
          <w:cs/>
        </w:rPr>
        <w:t>ไทย</w:t>
      </w:r>
    </w:p>
    <w:p w14:paraId="26DAC1EC" w14:textId="77777777" w:rsidR="009D1BD4" w:rsidRPr="00151A46" w:rsidRDefault="009D1BD4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C279DB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r w:rsidR="00E65EA9"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. </w:t>
      </w:r>
      <w:r w:rsidR="00406448">
        <w:rPr>
          <w:rFonts w:ascii="DilleniaUPC" w:hAnsi="DilleniaUPC" w:cs="DilleniaUPC" w:hint="cs"/>
          <w:b/>
          <w:bCs/>
          <w:sz w:val="36"/>
          <w:szCs w:val="36"/>
          <w:cs/>
        </w:rPr>
        <w:t>3</w:t>
      </w: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>/2556</w:t>
      </w:r>
    </w:p>
    <w:p w14:paraId="314E3F12" w14:textId="77777777" w:rsidR="00C279DB" w:rsidRPr="00151A46" w:rsidRDefault="000040E3" w:rsidP="003762C7">
      <w:pPr>
        <w:ind w:right="-64"/>
        <w:jc w:val="center"/>
        <w:rPr>
          <w:rFonts w:ascii="DilleniaUPC" w:hAnsi="DilleniaUPC" w:cs="DilleniaUPC"/>
          <w:b/>
          <w:bCs/>
          <w:i/>
          <w:iCs/>
          <w:sz w:val="36"/>
          <w:szCs w:val="36"/>
        </w:rPr>
      </w:pPr>
      <w:r w:rsidRPr="00151A46">
        <w:rPr>
          <w:rFonts w:ascii="DilleniaUPC" w:hAnsi="DilleniaUPC" w:cs="DilleniaUPC"/>
          <w:b/>
          <w:bCs/>
          <w:i/>
          <w:iCs/>
          <w:sz w:val="36"/>
          <w:szCs w:val="36"/>
          <w:cs/>
        </w:rPr>
        <w:t xml:space="preserve">เรื่อง  </w:t>
      </w:r>
      <w:r w:rsidR="006F7B9B" w:rsidRPr="00151A46">
        <w:rPr>
          <w:rFonts w:ascii="DilleniaUPC" w:hAnsi="DilleniaUPC" w:cs="DilleniaUPC"/>
          <w:b/>
          <w:bCs/>
          <w:i/>
          <w:iCs/>
          <w:sz w:val="36"/>
          <w:szCs w:val="36"/>
          <w:cs/>
        </w:rPr>
        <w:t>หลักเกณฑ์</w:t>
      </w:r>
      <w:r w:rsidR="006661F1" w:rsidRPr="00151A46">
        <w:rPr>
          <w:rFonts w:ascii="DilleniaUPC" w:hAnsi="DilleniaUPC" w:cs="DilleniaUPC"/>
          <w:b/>
          <w:bCs/>
          <w:i/>
          <w:iCs/>
          <w:sz w:val="36"/>
          <w:szCs w:val="36"/>
          <w:cs/>
        </w:rPr>
        <w:t xml:space="preserve"> และวิธีการเกี่ยวกับการ</w:t>
      </w:r>
      <w:r w:rsidR="00406448">
        <w:rPr>
          <w:rFonts w:ascii="DilleniaUPC" w:hAnsi="DilleniaUPC" w:cs="DilleniaUPC" w:hint="cs"/>
          <w:b/>
          <w:bCs/>
          <w:i/>
          <w:iCs/>
          <w:sz w:val="36"/>
          <w:szCs w:val="36"/>
          <w:cs/>
        </w:rPr>
        <w:t>ลงทุนในหลักทรัพย์เพื่อบริษัท</w:t>
      </w:r>
      <w:r w:rsidR="009D0B8B">
        <w:rPr>
          <w:rFonts w:ascii="DilleniaUPC" w:hAnsi="DilleniaUPC" w:cs="DilleniaUPC"/>
          <w:b/>
          <w:bCs/>
          <w:i/>
          <w:iCs/>
          <w:sz w:val="36"/>
          <w:szCs w:val="36"/>
        </w:rPr>
        <w:t xml:space="preserve"> </w:t>
      </w:r>
      <w:r w:rsidR="00C279DB">
        <w:rPr>
          <w:rFonts w:ascii="DilleniaUPC" w:hAnsi="DilleniaUPC" w:cs="DilleniaUPC"/>
          <w:b/>
          <w:bCs/>
          <w:i/>
          <w:iCs/>
          <w:sz w:val="36"/>
          <w:szCs w:val="36"/>
        </w:rPr>
        <w:t>(Proprietary Trading)</w:t>
      </w:r>
    </w:p>
    <w:p w14:paraId="21D66231" w14:textId="77777777"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14:paraId="3881C4AC" w14:textId="77777777" w:rsidR="00B956D4" w:rsidRPr="00FE6751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8"/>
          <w:szCs w:val="8"/>
        </w:rPr>
      </w:pPr>
    </w:p>
    <w:p w14:paraId="6562D046" w14:textId="77777777" w:rsidR="00406448" w:rsidRPr="00406448" w:rsidRDefault="00406448" w:rsidP="00267EA1">
      <w:pPr>
        <w:pStyle w:val="Default"/>
        <w:ind w:firstLine="720"/>
        <w:jc w:val="thaiDistribute"/>
        <w:rPr>
          <w:sz w:val="30"/>
          <w:szCs w:val="30"/>
        </w:rPr>
      </w:pPr>
      <w:r w:rsidRPr="00406448">
        <w:rPr>
          <w:sz w:val="30"/>
          <w:szCs w:val="30"/>
          <w:cs/>
        </w:rPr>
        <w:t>เพื่อให้บริษัทหลักทรัพย์มีมาตรฐานการปฏิบัติงานรวมถึงการบริหารความเสี่ยงที่ดีจากการลงทุนในหลักทรัพย์เพื่อบริษัท</w:t>
      </w:r>
      <w:r w:rsidRPr="00406448">
        <w:rPr>
          <w:sz w:val="30"/>
          <w:szCs w:val="30"/>
        </w:rPr>
        <w:t xml:space="preserve"> (Proprietary Trading) </w:t>
      </w:r>
    </w:p>
    <w:p w14:paraId="1ADD0CCF" w14:textId="77777777" w:rsidR="00643429" w:rsidRDefault="00AE636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810FF5">
        <w:rPr>
          <w:rFonts w:ascii="DilleniaUPC" w:hAnsi="DilleniaUPC" w:cs="DilleniaUPC" w:hint="cs"/>
          <w:sz w:val="30"/>
          <w:szCs w:val="30"/>
          <w:cs/>
        </w:rPr>
        <w:t>ประกาศฉบับนี้ออกโดย</w:t>
      </w:r>
      <w:r w:rsidR="003D0CCB" w:rsidRPr="00810FF5">
        <w:rPr>
          <w:rFonts w:ascii="DilleniaUPC" w:hAnsi="DilleniaUPC" w:cs="DilleniaUPC" w:hint="cs"/>
          <w:sz w:val="30"/>
          <w:szCs w:val="30"/>
          <w:cs/>
        </w:rPr>
        <w:t>อาศัยอำนาจ</w:t>
      </w:r>
      <w:r w:rsidR="000E1230" w:rsidRPr="00810FF5">
        <w:rPr>
          <w:rFonts w:ascii="DilleniaUPC" w:hAnsi="DilleniaUPC" w:cs="DilleniaUPC"/>
          <w:sz w:val="30"/>
          <w:szCs w:val="30"/>
          <w:cs/>
        </w:rPr>
        <w:t>ตามความใน</w:t>
      </w:r>
      <w:r w:rsidR="00810FF5">
        <w:rPr>
          <w:rFonts w:ascii="DilleniaUPC" w:hAnsi="DilleniaUPC" w:cs="DilleniaUPC" w:hint="cs"/>
          <w:sz w:val="30"/>
          <w:szCs w:val="30"/>
          <w:cs/>
        </w:rPr>
        <w:t>ประกาศสำนักงานคณะกรรมการกำกับหลักทรัพย์และตลาดหลักทรัพย์ที่ สธ.</w:t>
      </w:r>
      <w:r w:rsidR="001D4159">
        <w:rPr>
          <w:rFonts w:ascii="DilleniaUPC" w:hAnsi="DilleniaUPC" w:cs="DilleniaUPC" w:hint="cs"/>
          <w:sz w:val="30"/>
          <w:szCs w:val="30"/>
          <w:cs/>
        </w:rPr>
        <w:t xml:space="preserve"> 34</w:t>
      </w:r>
      <w:r w:rsidR="00810FF5">
        <w:rPr>
          <w:rFonts w:ascii="DilleniaUPC" w:hAnsi="DilleniaUPC" w:cs="DilleniaUPC" w:hint="cs"/>
          <w:sz w:val="30"/>
          <w:szCs w:val="30"/>
          <w:cs/>
        </w:rPr>
        <w:t>/2556 เรื่อง การจัดระบบงานในการลงทุนในหลักทรัพย์หรือสัญญาซื้อขายล่วงหน้าเพื่อผู้ประกอบธุรกิจ</w:t>
      </w:r>
      <w:r w:rsidR="003D0CCB" w:rsidRPr="00810FF5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D4159">
        <w:rPr>
          <w:rFonts w:ascii="DilleniaUPC" w:hAnsi="DilleniaUPC" w:cs="DilleniaUPC" w:hint="cs"/>
          <w:sz w:val="30"/>
          <w:szCs w:val="30"/>
          <w:cs/>
        </w:rPr>
        <w:t>ข้อ</w:t>
      </w:r>
      <w:r w:rsidR="00ED6941">
        <w:rPr>
          <w:rFonts w:ascii="DilleniaUPC" w:hAnsi="DilleniaUPC" w:cs="DilleniaUPC" w:hint="cs"/>
          <w:sz w:val="30"/>
          <w:szCs w:val="30"/>
          <w:cs/>
        </w:rPr>
        <w:t xml:space="preserve"> 2</w:t>
      </w:r>
      <w:r w:rsidR="00ED6941">
        <w:rPr>
          <w:rFonts w:ascii="DilleniaUPC" w:hAnsi="DilleniaUPC" w:cs="DilleniaUPC"/>
          <w:sz w:val="30"/>
          <w:szCs w:val="30"/>
        </w:rPr>
        <w:t>.</w:t>
      </w:r>
      <w:r w:rsidR="001D415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810FF5">
        <w:rPr>
          <w:rFonts w:ascii="DilleniaUPC" w:hAnsi="DilleniaUPC" w:cs="DilleniaUPC"/>
          <w:sz w:val="30"/>
          <w:szCs w:val="30"/>
          <w:cs/>
        </w:rPr>
        <w:t>โดยความเห็นชอบ</w:t>
      </w:r>
      <w:r w:rsidRPr="00810FF5">
        <w:rPr>
          <w:rFonts w:ascii="DilleniaUPC" w:hAnsi="DilleniaUPC" w:cs="DilleniaUPC" w:hint="cs"/>
          <w:sz w:val="30"/>
          <w:szCs w:val="30"/>
          <w:cs/>
        </w:rPr>
        <w:t>ของ</w:t>
      </w:r>
      <w:r w:rsidR="00406448" w:rsidRPr="00810FF5">
        <w:rPr>
          <w:rFonts w:ascii="DilleniaUPC" w:hAnsi="DilleniaUPC" w:cs="DilleniaUPC" w:hint="cs"/>
          <w:sz w:val="30"/>
          <w:szCs w:val="30"/>
          <w:cs/>
        </w:rPr>
        <w:t>สำนักงานคณะกรรมการกำกับหลักทรัพย์และตลาดหลักทรัพย์</w:t>
      </w:r>
      <w:r w:rsidRPr="00810FF5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D0CCB" w:rsidRPr="00810FF5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สมาคมบริษัทหลักทรัพย์ไทยจึงกำหนด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หลักเกณฑ์และวิธีการเกี่ยวกับการ</w:t>
      </w:r>
      <w:r w:rsidR="00406448">
        <w:rPr>
          <w:rFonts w:ascii="DilleniaUPC" w:hAnsi="DilleniaUPC" w:cs="DilleniaUPC" w:hint="cs"/>
          <w:sz w:val="30"/>
          <w:szCs w:val="30"/>
          <w:cs/>
        </w:rPr>
        <w:t>ลงทุนในหลักทรัพย์เพื่อบริษัท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 xml:space="preserve"> เพื่อให้สมาชิก</w:t>
      </w:r>
      <w:r w:rsidR="000C547E" w:rsidRPr="00151A46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ถือปฏิบัติ ดังนี้</w:t>
      </w:r>
    </w:p>
    <w:p w14:paraId="2D4132F3" w14:textId="77777777" w:rsidR="00406448" w:rsidRPr="007651E4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ให้ยกเลิกประกาศสมาคม</w:t>
      </w:r>
      <w:r w:rsidRPr="004064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บริษัทหลักทรัพย์ไทย</w:t>
      </w:r>
      <w:r w:rsidRPr="00406448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เรื่อง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แนวทางปฏิบัติในการบริหารและจัดการลงทุนในหลักทรัพย์และสัญญาซื้อขายล่วงหน้าเพื่อบริษัทหลักทรัพย์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ลงวันที่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15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ตุลาคม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2553 </w:t>
      </w:r>
    </w:p>
    <w:p w14:paraId="394C4E46" w14:textId="77777777" w:rsidR="00406448" w:rsidRPr="00406448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ใน</w:t>
      </w:r>
      <w:r w:rsidR="007651E4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>ประกาศ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นี้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3F639D89" w14:textId="77777777" w:rsidR="00406448" w:rsidRPr="00406448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“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สำนักงาน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ก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.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ล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.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ต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.”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หมายความว่า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สำนักงานคณะกรรมการกำกับหลักทรัพย์และตลาดหลักทรัพย์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6B9F5CE5" w14:textId="77777777" w:rsidR="00406448" w:rsidRPr="00406448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“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สมาคม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”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หมายความว่า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สมาคมบริษัทหลักทรัพย์ไทย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5BBBAC02" w14:textId="77777777" w:rsidR="00406448" w:rsidRPr="00406448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“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สมาชิก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”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หมายความว่า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สมาชิกสมาคมบริษัทหลักทรัพย์ไทย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49C2BB71" w14:textId="77777777" w:rsidR="00406448" w:rsidRPr="00406448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“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หลักทรัพย์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”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หมายความว่า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ตราสารทุน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ใบสำคัญแสดงสิทธิอนุพันธ์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ตราสารอนุพันธ์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ที่ซื้อขายในตลาดหลักทรัพย์แห่งประเทศไทย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หรือ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ตลาดหลักทรัพย์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เอ็ม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เอ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ไอ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หรือ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ตลาดสัญญาซื้อขายล่วงหน้า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4E9DBB69" w14:textId="77777777" w:rsidR="00406448" w:rsidRPr="00406448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“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การลงทุนในหลักทรัพย์เพื่อบริษัทประเภท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Day Trade”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หมายความว่า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การลงทุนในหลักทรัพย์เพื่อบริษัทในลักษณะการซื้อขายหลักทรัพย์แบบเก็งกำไรระยะสั้นโดยมีการซื้อขายหลักทรัพย์เดียวกันในวันเดียวกัน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142B916D" w14:textId="77777777" w:rsidR="00406448" w:rsidRPr="00406448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“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บัญชีซื้อขาย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”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หมายความว่า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บัญชีที่ใช้ในการซื้อขายเพื่อการลงทุนในหลักทรัพย์เพื่อบริษัท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6676B3C0" w14:textId="77777777" w:rsidR="00406448" w:rsidRPr="00810FF5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>“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ค่าธรรมเนียม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”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หมายความว่า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ค่าธรรมเนียมในการเป็นนายหน้าหรือตัวแทนซื้อหรือขายหลักทรัพย์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</w:p>
    <w:p w14:paraId="72DAAC95" w14:textId="77777777" w:rsidR="00406448" w:rsidRPr="00406448" w:rsidRDefault="00406448" w:rsidP="00267EA1">
      <w:pPr>
        <w:autoSpaceDE w:val="0"/>
        <w:autoSpaceDN w:val="0"/>
        <w:adjustRightInd w:val="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นอกเหนือจากคำที่บัญญัติไว้ข้างต้น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ให้คำที่ปรากฏใน</w:t>
      </w:r>
      <w:r w:rsidR="007651E4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>ประกาศ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ฉบับนี้มีความหมายเป็นไปตามนิยาม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ที่กำหนดไว้ใน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="009D0B8B">
        <w:rPr>
          <w:rFonts w:ascii="DilleniaUPC" w:hAnsi="DilleniaUPC" w:cs="DilleniaUPC" w:hint="cs"/>
          <w:sz w:val="30"/>
          <w:szCs w:val="30"/>
          <w:cs/>
        </w:rPr>
        <w:t>ประกาศสำนักงานคณะกรรมการกำกับหลักทรัพย์และตลาดหลักทรัพย</w:t>
      </w:r>
      <w:r w:rsidR="001D4159">
        <w:rPr>
          <w:rFonts w:ascii="DilleniaUPC" w:hAnsi="DilleniaUPC" w:cs="DilleniaUPC" w:hint="cs"/>
          <w:sz w:val="30"/>
          <w:szCs w:val="30"/>
          <w:cs/>
        </w:rPr>
        <w:t>์ที่ สธ. 34</w:t>
      </w:r>
      <w:r w:rsidR="009D0B8B">
        <w:rPr>
          <w:rFonts w:ascii="DilleniaUPC" w:hAnsi="DilleniaUPC" w:cs="DilleniaUPC" w:hint="cs"/>
          <w:sz w:val="30"/>
          <w:szCs w:val="30"/>
          <w:cs/>
        </w:rPr>
        <w:t>/2556 เรื่อง การจัดระบบงานในการลงทุนในหลักทรัพย์หรือสัญญาซื้อขายล่วงหน้าเพื่อผู้ประกอบธุรกิจ</w:t>
      </w:r>
      <w:r w:rsidR="009D0B8B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4A1BB62E" w14:textId="77777777" w:rsidR="00810FF5" w:rsidRPr="00FE6751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สมาชิกต้องกำหนดนโยบายการลงทุนในหลักทรัพย์เพื่อบริษัท</w:t>
      </w:r>
      <w:r w:rsidR="00B758F3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B758F3" w:rsidRPr="00267EA1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>และอาจกำหนดให้มีคณะกรรมการการลงทุน</w:t>
      </w:r>
      <w:r w:rsidR="00B758F3" w:rsidRPr="00267EA1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>(Investment Committee)</w:t>
      </w:r>
      <w:r w:rsidR="00267EA1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B758F3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>ซึ่ง</w:t>
      </w:r>
      <w:r w:rsidR="00B758F3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ผ่านความเห็นชอบจากคณะกรรมการของ</w:t>
      </w:r>
      <w:r w:rsidR="00B758F3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บริษัท</w:t>
      </w:r>
      <w:r w:rsidR="00B758F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B758F3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>รวมทั้ง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ระบุประเภทบัญชีซื้อขายตามลักษณะการลงทุน</w:t>
      </w:r>
      <w:r w:rsidR="00B758F3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เป็นลายลักษณ์อักษร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อย่างชัดเจน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อาทิเช่น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บัญชีการลงทุนในหลักทรัพย์เพื่อบริษัทระยะยาว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หรือบัญชีการลงทุนในหลักทรัพย์เพื่อบริษัทประเภท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Day Trade 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หรือบัญชีลงทุนในหลักทรัพย์เพื่อบริษัทสำหรับการซื้อขายผิดพลาด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="008633D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ฯลฯ</w:t>
      </w:r>
      <w:r w:rsidR="008633D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</w:t>
      </w:r>
      <w:r w:rsidR="00B758F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นโยบายการลงทุนในหลักทรัพย์เพื่อบริษัทต้องมี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สาระสำคัญอย่างน้อยดังนี้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2428EBD6" w14:textId="77777777" w:rsidR="00406448" w:rsidRPr="00406448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นโยบาย</w:t>
      </w:r>
      <w:r w:rsidR="0014073F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>หรือ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หลักเกณฑ์</w:t>
      </w:r>
      <w:r w:rsidR="0014073F"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การกระจายความเสี่ยงของการลงทุน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50EC4483" w14:textId="77777777" w:rsidR="00406448" w:rsidRPr="00406448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วงเงินลงทุนในหลักทรัพย์เพื่อบริษัท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130D3247" w14:textId="77777777" w:rsidR="00406448" w:rsidRPr="00406448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การจัดสรรวงเงินตามประเภทของการลงทุน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7C4E9BB7" w14:textId="77777777" w:rsidR="00406448" w:rsidRPr="00406448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lastRenderedPageBreak/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การวิเคราะห์เพื่อหาอัตราส่วนเงินกองทุนสภาพคล่องสุทธิ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(NC)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ในกรณีลงทุนเต็มวงเงินภายใต้เงื่อนไขและสถานการณ์ของการลงทุนที่แตกต่างกัน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6EB8B815" w14:textId="77777777" w:rsidR="00406448" w:rsidRPr="00406448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นโยบายเกี่ยวกับการตัดขาดทุน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(Cut Loss Policy) </w:t>
      </w:r>
    </w:p>
    <w:p w14:paraId="3F7B0087" w14:textId="77777777" w:rsidR="00406448" w:rsidRPr="00406448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นโยบายเกี่ยวกับการสนับสนุนด้านสภาพคล่องในกรณีจำเป็น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(Liquidity Support Policy) </w:t>
      </w:r>
    </w:p>
    <w:p w14:paraId="6CD02178" w14:textId="77777777" w:rsidR="00406448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นโยบายในการถือครองหลักทรัพย์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07A0DE0D" w14:textId="77777777" w:rsidR="0014073F" w:rsidRPr="0014073F" w:rsidRDefault="00267EA1" w:rsidP="00267EA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200"/>
        <w:ind w:left="782" w:hanging="357"/>
        <w:contextualSpacing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14073F" w:rsidRPr="0014073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ำหนดหลักเกณฑ์การดำเนินการในกรณีที่มีการซื้อหรือขายหลักทรัพย์ที่ไม่สามารถทราบหรือคำนวณราคาตลาดหรือไม่เป็นไปตามราคาตลาด รวมถึงการจัดให้มีข้อมูลเชิงวิเคราะห์เพื่อประกอบการตัดสินใจในการซื้อขายหลักทรัพย์ที่ไม่สามารถทราบหรือคำนวณราคาตลาดหรือไม่เป็นไปตามราคาตลาด</w:t>
      </w:r>
    </w:p>
    <w:p w14:paraId="41734A1A" w14:textId="77777777" w:rsidR="00406448" w:rsidRPr="00406448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สมาชิก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กำหนดหลักเกณฑ์การรายงานการลงทุนในหลักทรัพย์เพื่อบริษัทต่อคณะกรรมการของบริษัท</w:t>
      </w:r>
      <w:r w:rsidRPr="004064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เพื่อให้สามารถติดตามการลงทุนได้อย่างมีประสิทธิภาพ</w:t>
      </w:r>
      <w:r w:rsidRPr="00406448">
        <w:rPr>
          <w:rFonts w:ascii="DilleniaUPC" w:eastAsia="Calibri" w:hAnsi="DilleniaUPC" w:cs="DilleniaUPC"/>
          <w:sz w:val="30"/>
          <w:szCs w:val="30"/>
          <w:lang w:eastAsia="en-US"/>
        </w:rPr>
        <w:t xml:space="preserve">  </w:t>
      </w:r>
    </w:p>
    <w:p w14:paraId="7EEE95D1" w14:textId="77777777" w:rsidR="00406448" w:rsidRPr="00406448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บุคลากรของสมาชิกที่ทำหน้าที่จัดการลงทุนในหลักทรัพย์เพื่อบริษัท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ต้องเป็นผู้ได้รับใบอนุญาตผู้ติดต่อกับผู้ลงทุน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หรือ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สอบผ่านหลักสูตร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CISA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ระดับที่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1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หรือ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สอบผ่านหลักสูตร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CFA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ระดับที่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1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เป็นอย่างน้อย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21F672FB" w14:textId="77777777" w:rsidR="00406448" w:rsidRPr="00406448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ในกรณีที่สมาชิกมีบัญชีซื้อขายเพื่อการลงทุนในหลักทรัพย์เพื่อบริษัทประเภท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Day Trade 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ให้สมาชิกดำเนินการดังนี้</w:t>
      </w:r>
      <w:r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06A5CAFF" w14:textId="77777777" w:rsidR="00406448" w:rsidRPr="00406448" w:rsidRDefault="00267EA1" w:rsidP="00267EA1">
      <w:pPr>
        <w:numPr>
          <w:ilvl w:val="1"/>
          <w:numId w:val="5"/>
        </w:numPr>
        <w:autoSpaceDE w:val="0"/>
        <w:autoSpaceDN w:val="0"/>
        <w:adjustRightInd w:val="0"/>
        <w:spacing w:after="200"/>
        <w:contextualSpacing/>
        <w:jc w:val="thaiDistribute"/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 xml:space="preserve">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กำหนดวงเงินการซื้อขายหลักทรัพย์เฉพาะบัญชีซื้อขายเพื่อการลงทุนในหลักทรัพย์เพื่อบริษัทประเภทของการลงทุนตามข้อ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6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ทุกบัญชีซื้อขายรวมทั้งสิ้นไม่เกินร้อยละ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50 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ของส่วนของผู้ถือหุ้นของบริษัทตามที่</w:t>
      </w:r>
      <w:r w:rsidRPr="00406448">
        <w:rPr>
          <w:rFonts w:ascii="DilleniaUPC" w:eastAsia="Calibri" w:hAnsi="DilleniaUPC" w:cs="DilleniaUPC" w:hint="cs"/>
          <w:color w:val="000000"/>
          <w:sz w:val="30"/>
          <w:szCs w:val="30"/>
          <w:cs/>
          <w:lang w:eastAsia="en-US"/>
        </w:rPr>
        <w:t>ปรากฏ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cs/>
          <w:lang w:eastAsia="en-US"/>
        </w:rPr>
        <w:t>ในงบสอบทานฉบับล่าสุด</w:t>
      </w:r>
      <w:r w:rsidR="00406448" w:rsidRPr="00406448">
        <w:rPr>
          <w:rFonts w:ascii="DilleniaUPC" w:eastAsia="Calibri" w:hAnsi="DilleniaUPC" w:cs="DilleniaUPC"/>
          <w:color w:val="000000"/>
          <w:sz w:val="30"/>
          <w:szCs w:val="30"/>
          <w:lang w:eastAsia="en-US"/>
        </w:rPr>
        <w:t xml:space="preserve"> </w:t>
      </w:r>
    </w:p>
    <w:p w14:paraId="21695AE0" w14:textId="77777777" w:rsidR="00406448" w:rsidRPr="00810FF5" w:rsidRDefault="00267EA1" w:rsidP="00267EA1">
      <w:pPr>
        <w:numPr>
          <w:ilvl w:val="1"/>
          <w:numId w:val="5"/>
        </w:numPr>
        <w:autoSpaceDE w:val="0"/>
        <w:autoSpaceDN w:val="0"/>
        <w:adjustRightInd w:val="0"/>
        <w:spacing w:after="200"/>
        <w:contextualSpacing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การดำเนินการใด</w:t>
      </w:r>
      <w:r w:rsidR="00406448"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ๆ</w:t>
      </w:r>
      <w:r w:rsidR="00406448"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ที่เกี่ยวเนื่องกับการลงทุนในหลักทรัพย์เพื่อบริษัทประเภทของการลงทุนตามข้อ</w:t>
      </w:r>
      <w:r w:rsidR="00406448"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6 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ให้บริษัทนำต้นทุนที่เกิดขึ้นจริงในการประกอบธุรกิจมาพิจารณาดำเนินการ</w:t>
      </w:r>
      <w:r w:rsidR="00406448"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และให้รวมค่าธรรมเนียมในอัตราที่ต้องไม่ก่อให้เกิดการเอาเปรียบลูกค้า</w:t>
      </w:r>
      <w:r w:rsidR="00406448"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กล่าวคือ</w:t>
      </w:r>
      <w:r w:rsidR="00406448"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406448"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ไม่เอื้อต่อการซื้อขายที่รวดเร็วและไม่ตํ่ากว่าอัตราค่าธรรมเนียมตํ่าสุดของลูกค้า</w:t>
      </w:r>
      <w:r w:rsid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ของสมาชิก</w:t>
      </w:r>
      <w:r w:rsidR="00406448" w:rsidRPr="00810FF5">
        <w:rPr>
          <w:rFonts w:ascii="DilleniaUPC" w:eastAsia="Calibri" w:hAnsi="DilleniaUPC" w:cs="DilleniaUPC"/>
          <w:strike/>
          <w:sz w:val="30"/>
          <w:szCs w:val="30"/>
          <w:lang w:eastAsia="en-US"/>
        </w:rPr>
        <w:t xml:space="preserve"> </w:t>
      </w:r>
      <w:r w:rsidR="00406448"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14:paraId="61D00CBA" w14:textId="77777777" w:rsidR="00406448" w:rsidRPr="00810FF5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หากสมาชิกมีการลงทุนในหลักทรัพย์เพื่อบริษัทในบัญชีซื้อขายใดที่มีมูลค่าการซื้อขายรายเดือนในหลักทรัพย์เดียวกันในวันเดียวกัน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ตั้งแต่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30% 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ขึ้นไป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ของมูลค่าซื้อขายรวมของบัญชีซื้อขายนั้น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ให้ถือว่าบัญชีซื้อขายดังกล่าวเข้าข่ายเป็นการลงทุนในหลักทรัพย์เพื่อบริษัทประเภท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Day Trade 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และต้องปฏิบัติตามข้อกำหนดใน</w:t>
      </w:r>
      <w:r w:rsidR="001D415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1D4159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.1 </w:t>
      </w:r>
      <w:r w:rsidR="001D415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และ ข้อ </w:t>
      </w:r>
      <w:r w:rsidR="001D4159">
        <w:rPr>
          <w:rFonts w:ascii="DilleniaUPC" w:eastAsia="Calibri" w:hAnsi="DilleniaUPC" w:cs="DilleniaUPC"/>
          <w:sz w:val="30"/>
          <w:szCs w:val="30"/>
          <w:lang w:eastAsia="en-US"/>
        </w:rPr>
        <w:t>6.2</w:t>
      </w:r>
    </w:p>
    <w:p w14:paraId="0585351C" w14:textId="77777777" w:rsidR="00406448" w:rsidRPr="00406448" w:rsidRDefault="00406448" w:rsidP="00267EA1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/>
        <w:contextualSpacing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สมาชิกต้อง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จัดให้มีระบบงานในการกำกับดูแลการลงทุนในหลักทรัพย์เพื่อบริษัทอย่างมีประสิทธิภาพสอดคล้องกับลักษ</w:t>
      </w:r>
      <w:r w:rsidR="00173B30"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ณ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ะ ขอบเขต ปริมาณ และความซับซ้อนของการประกอบธุรกิจ รวมทั้งต้อง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กำหนดหน่วยงานกำกับดูแล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และติดตามการ</w:t>
      </w:r>
      <w:r w:rsidRPr="00810FF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ปฏิบัติ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ให้เป็นไปตามนโยบายที่กำหนดตามข้อ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3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6.1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</w:t>
      </w:r>
      <w:r w:rsidRPr="00810FF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810FF5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</w:t>
      </w:r>
      <w:r w:rsidRPr="00406448">
        <w:rPr>
          <w:rFonts w:ascii="DilleniaUPC" w:eastAsia="Calibri" w:hAnsi="DilleniaUPC" w:cs="DilleniaUPC"/>
          <w:sz w:val="30"/>
          <w:szCs w:val="30"/>
          <w:lang w:eastAsia="en-US"/>
        </w:rPr>
        <w:t xml:space="preserve"> 6.2 </w:t>
      </w:r>
      <w:r w:rsidRPr="004064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กำกับดูแลและดำเนินการแก้ไขหรือปรับปรุงตามข้อสังเกตหรือคำแนะนำของหน่วยงานกำกับดูแลภายนอก</w:t>
      </w:r>
      <w:r w:rsidRPr="00406448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นอกจากนี้</w:t>
      </w:r>
      <w:r w:rsidRPr="004064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สมาชิก</w:t>
      </w:r>
      <w:r w:rsidRPr="004064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กำหนดมาตรการและแนวทางปฏิบัติในการพิจารณาลงโทษบุคลากรที่ปฏิบัติงานไม่เป็นไปตาม</w:t>
      </w:r>
      <w:r w:rsidR="0073022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ประกาศ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  <w:r w:rsidR="0073022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406448">
        <w:rPr>
          <w:rFonts w:ascii="DilleniaUPC" w:eastAsia="Calibri" w:hAnsi="DilleniaUPC" w:cs="DilleniaUPC"/>
          <w:sz w:val="30"/>
          <w:szCs w:val="30"/>
          <w:cs/>
          <w:lang w:eastAsia="en-US"/>
        </w:rPr>
        <w:t>โดยให้สอดคล้องหรือเป็นไปตามหลักเกณฑ์และแนวปฏิบัติเกี่ยวกับการพิจารณาลงโทษบุคลากรในธุรกิจตลาดทุน</w:t>
      </w:r>
    </w:p>
    <w:p w14:paraId="6253181C" w14:textId="77777777" w:rsidR="00643429" w:rsidRPr="00151A46" w:rsidRDefault="00643429" w:rsidP="00267EA1">
      <w:pPr>
        <w:ind w:left="720" w:right="-64" w:hanging="720"/>
        <w:contextualSpacing/>
        <w:jc w:val="thaiDistribute"/>
        <w:rPr>
          <w:rFonts w:ascii="DilleniaUPC" w:hAnsi="DilleniaUPC" w:cs="DilleniaUPC"/>
          <w:sz w:val="16"/>
          <w:szCs w:val="16"/>
        </w:rPr>
      </w:pPr>
    </w:p>
    <w:p w14:paraId="28D0D911" w14:textId="77777777" w:rsidR="00D677F0" w:rsidRPr="003762C7" w:rsidRDefault="00D677F0" w:rsidP="001D4159">
      <w:pPr>
        <w:spacing w:before="360"/>
        <w:ind w:right="-64" w:firstLine="426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ประกาศนี้มีผลบังคับตั้งแต่วันที่ 1 </w:t>
      </w:r>
      <w:r w:rsidR="007651E4">
        <w:rPr>
          <w:rFonts w:ascii="DilleniaUPC" w:hAnsi="DilleniaUPC" w:cs="DilleniaUPC" w:hint="cs"/>
          <w:sz w:val="30"/>
          <w:szCs w:val="30"/>
          <w:cs/>
        </w:rPr>
        <w:t xml:space="preserve">พฤศจิกายน </w:t>
      </w:r>
      <w:r w:rsidR="0080750D" w:rsidRPr="003762C7">
        <w:rPr>
          <w:rFonts w:ascii="DilleniaUPC" w:hAnsi="DilleniaUPC" w:cs="DilleniaUPC"/>
          <w:sz w:val="30"/>
          <w:szCs w:val="30"/>
          <w:cs/>
        </w:rPr>
        <w:t>2556</w:t>
      </w:r>
      <w:r w:rsidRPr="003762C7">
        <w:rPr>
          <w:rFonts w:ascii="DilleniaUPC" w:hAnsi="DilleniaUPC" w:cs="DilleniaUPC"/>
          <w:sz w:val="30"/>
          <w:szCs w:val="30"/>
          <w:cs/>
        </w:rPr>
        <w:t xml:space="preserve"> เป็นต้นไป</w:t>
      </w:r>
    </w:p>
    <w:p w14:paraId="6F24346B" w14:textId="77777777" w:rsidR="00C25473" w:rsidRDefault="00D677F0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</w:p>
    <w:p w14:paraId="5AFBE581" w14:textId="77777777" w:rsidR="00D677F0" w:rsidRPr="003762C7" w:rsidRDefault="00C25473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ab/>
      </w:r>
      <w:r w:rsidR="00D677F0" w:rsidRPr="003762C7">
        <w:rPr>
          <w:rFonts w:ascii="DilleniaUPC" w:hAnsi="DilleniaUPC" w:cs="DilleniaUPC"/>
          <w:sz w:val="30"/>
          <w:szCs w:val="30"/>
          <w:cs/>
        </w:rPr>
        <w:t xml:space="preserve">ประกาศ ณ วันที่ </w:t>
      </w:r>
      <w:r w:rsidR="00256A17">
        <w:rPr>
          <w:rFonts w:ascii="DilleniaUPC" w:hAnsi="DilleniaUPC" w:cs="DilleniaUPC" w:hint="cs"/>
          <w:sz w:val="30"/>
          <w:szCs w:val="30"/>
          <w:cs/>
        </w:rPr>
        <w:t xml:space="preserve"> 3</w:t>
      </w:r>
      <w:r w:rsidR="00517A70">
        <w:rPr>
          <w:rFonts w:ascii="DilleniaUPC" w:hAnsi="DilleniaUPC" w:cs="DilleniaUPC" w:hint="cs"/>
          <w:sz w:val="30"/>
          <w:szCs w:val="30"/>
          <w:cs/>
        </w:rPr>
        <w:t>0</w:t>
      </w:r>
      <w:r w:rsidR="003762C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651E4">
        <w:rPr>
          <w:rFonts w:ascii="DilleniaUPC" w:hAnsi="DilleniaUPC" w:cs="DilleniaUPC" w:hint="cs"/>
          <w:sz w:val="30"/>
          <w:szCs w:val="30"/>
          <w:cs/>
        </w:rPr>
        <w:t>ตุลาคม</w:t>
      </w:r>
      <w:r w:rsidR="00D677F0" w:rsidRPr="003762C7">
        <w:rPr>
          <w:rFonts w:ascii="DilleniaUPC" w:hAnsi="DilleniaUPC" w:cs="DilleniaUPC"/>
          <w:sz w:val="30"/>
          <w:szCs w:val="30"/>
          <w:cs/>
        </w:rPr>
        <w:t xml:space="preserve">  255</w:t>
      </w:r>
      <w:r w:rsidR="002F1ADB" w:rsidRPr="003762C7">
        <w:rPr>
          <w:rFonts w:ascii="DilleniaUPC" w:hAnsi="DilleniaUPC" w:cs="DilleniaUPC"/>
          <w:sz w:val="30"/>
          <w:szCs w:val="30"/>
          <w:cs/>
        </w:rPr>
        <w:t>6</w:t>
      </w:r>
    </w:p>
    <w:p w14:paraId="0CA070CA" w14:textId="77777777" w:rsidR="00D677F0" w:rsidRDefault="00D677F0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</w:p>
    <w:p w14:paraId="0213B095" w14:textId="77777777" w:rsidR="00C25473" w:rsidRDefault="00C25473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4869E446" w14:textId="77777777" w:rsidR="00D677F0" w:rsidRPr="003762C7" w:rsidRDefault="00D677F0" w:rsidP="00267EA1">
      <w:pPr>
        <w:tabs>
          <w:tab w:val="center" w:pos="5812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  <w:t>(นางภัทธีรา  ดิลกรุ่งธีระภพ)</w:t>
      </w:r>
    </w:p>
    <w:p w14:paraId="2167285A" w14:textId="77777777" w:rsidR="0011539E" w:rsidRPr="003762C7" w:rsidRDefault="00D677F0" w:rsidP="00267EA1">
      <w:pPr>
        <w:pStyle w:val="BodyText"/>
        <w:tabs>
          <w:tab w:val="left" w:pos="567"/>
          <w:tab w:val="center" w:pos="5812"/>
        </w:tabs>
        <w:spacing w:after="0" w:line="340" w:lineRule="exact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      </w:t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sectPr w:rsidR="0011539E" w:rsidRPr="003762C7" w:rsidSect="0011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56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07C0" w14:textId="77777777" w:rsidR="003B52D1" w:rsidRDefault="003B52D1" w:rsidP="00A87D06">
      <w:r>
        <w:separator/>
      </w:r>
    </w:p>
  </w:endnote>
  <w:endnote w:type="continuationSeparator" w:id="0">
    <w:p w14:paraId="50CE8F5B" w14:textId="77777777" w:rsidR="003B52D1" w:rsidRDefault="003B52D1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6AB3" w14:textId="77777777" w:rsidR="0044564E" w:rsidRDefault="00445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1424" w14:textId="77777777" w:rsidR="0047748A" w:rsidRPr="00E87C51" w:rsidRDefault="0047748A" w:rsidP="0047748A">
    <w:pPr>
      <w:pStyle w:val="Footer"/>
      <w:ind w:right="-483"/>
      <w:jc w:val="right"/>
      <w:rPr>
        <w:rFonts w:ascii="BrowalliaUPC" w:hAnsi="BrowalliaUPC" w:cs="BrowalliaUPC"/>
        <w:b/>
        <w:bCs/>
        <w:sz w:val="20"/>
        <w:szCs w:val="20"/>
      </w:rPr>
    </w:pPr>
    <w:r w:rsidRPr="00E87C51">
      <w:rPr>
        <w:rFonts w:ascii="Browallia New" w:hAnsi="Browallia New" w:cs="Browallia New" w:hint="cs"/>
        <w:b/>
        <w:bCs/>
        <w:sz w:val="20"/>
        <w:szCs w:val="20"/>
        <w:cs/>
      </w:rPr>
      <w:t>หลักเกณฑ์และ</w:t>
    </w:r>
    <w:r w:rsidR="00E87C51" w:rsidRPr="00E87C51">
      <w:rPr>
        <w:rFonts w:ascii="BrowalliaUPC" w:hAnsi="BrowalliaUPC" w:cs="BrowalliaUPC" w:hint="cs"/>
        <w:b/>
        <w:bCs/>
        <w:sz w:val="20"/>
        <w:szCs w:val="20"/>
        <w:cs/>
      </w:rPr>
      <w:t>วิธีการเกี่ยวกับการ</w:t>
    </w:r>
    <w:r w:rsidR="00C279DB">
      <w:rPr>
        <w:rFonts w:ascii="BrowalliaUPC" w:hAnsi="BrowalliaUPC" w:cs="BrowalliaUPC" w:hint="cs"/>
        <w:b/>
        <w:bCs/>
        <w:sz w:val="20"/>
        <w:szCs w:val="20"/>
        <w:cs/>
      </w:rPr>
      <w:t>ลงทุนในหลักทรัพย์เพื่อบริษัท</w:t>
    </w:r>
  </w:p>
  <w:p w14:paraId="28C8823F" w14:textId="77777777" w:rsidR="0047748A" w:rsidRDefault="0047748A" w:rsidP="0047748A">
    <w:pPr>
      <w:pStyle w:val="Footer"/>
      <w:ind w:right="-483"/>
      <w:jc w:val="right"/>
    </w:pPr>
    <w:r w:rsidRPr="0047748A">
      <w:rPr>
        <w:rFonts w:ascii="BrowalliaUPC" w:hAnsi="BrowalliaUPC" w:cs="BrowalliaUPC"/>
        <w:sz w:val="20"/>
        <w:szCs w:val="20"/>
        <w:cs/>
      </w:rPr>
      <w:t>หน้า</w:t>
    </w:r>
    <w:r w:rsidRPr="0047748A">
      <w:rPr>
        <w:rFonts w:ascii="BrowalliaUPC" w:hAnsi="BrowalliaUPC" w:cs="BrowalliaUPC"/>
        <w:sz w:val="20"/>
        <w:szCs w:val="20"/>
      </w:rPr>
      <w:t xml:space="preserve">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9E22EF">
      <w:rPr>
        <w:rFonts w:ascii="BrowalliaUPC" w:hAnsi="BrowalliaUPC" w:cs="BrowalliaUPC"/>
        <w:b/>
        <w:bCs/>
        <w:noProof/>
        <w:sz w:val="20"/>
        <w:szCs w:val="20"/>
      </w:rPr>
      <w:t>1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Pr="0047748A">
      <w:rPr>
        <w:rFonts w:ascii="BrowalliaUPC" w:hAnsi="BrowalliaUPC" w:cs="BrowalliaUPC"/>
        <w:sz w:val="20"/>
        <w:szCs w:val="20"/>
      </w:rPr>
      <w:t xml:space="preserve"> /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9E22EF">
      <w:rPr>
        <w:rFonts w:ascii="BrowalliaUPC" w:hAnsi="BrowalliaUPC" w:cs="BrowalliaUPC"/>
        <w:b/>
        <w:bCs/>
        <w:noProof/>
        <w:sz w:val="20"/>
        <w:szCs w:val="20"/>
      </w:rPr>
      <w:t>2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  <w:p w14:paraId="2F396435" w14:textId="77777777" w:rsidR="0047748A" w:rsidRDefault="0047748A" w:rsidP="00477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6267" w14:textId="77777777" w:rsidR="0044564E" w:rsidRDefault="0044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18FE" w14:textId="77777777" w:rsidR="003B52D1" w:rsidRDefault="003B52D1" w:rsidP="00A87D06">
      <w:r>
        <w:separator/>
      </w:r>
    </w:p>
  </w:footnote>
  <w:footnote w:type="continuationSeparator" w:id="0">
    <w:p w14:paraId="3A7F5F7B" w14:textId="77777777" w:rsidR="003B52D1" w:rsidRDefault="003B52D1" w:rsidP="00A8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AC3" w14:textId="77777777" w:rsidR="0044564E" w:rsidRDefault="00445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7CD5" w14:textId="77777777" w:rsidR="0044564E" w:rsidRDefault="00445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905E" w14:textId="77777777" w:rsidR="0044564E" w:rsidRDefault="00445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C77B86"/>
    <w:multiLevelType w:val="multilevel"/>
    <w:tmpl w:val="C34E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3"/>
    <w:rsid w:val="00000EA1"/>
    <w:rsid w:val="000025E8"/>
    <w:rsid w:val="000040E3"/>
    <w:rsid w:val="000363B8"/>
    <w:rsid w:val="00037B0C"/>
    <w:rsid w:val="00046141"/>
    <w:rsid w:val="00053238"/>
    <w:rsid w:val="00056506"/>
    <w:rsid w:val="00060532"/>
    <w:rsid w:val="000C547E"/>
    <w:rsid w:val="000D3EFA"/>
    <w:rsid w:val="000E1230"/>
    <w:rsid w:val="000F78FE"/>
    <w:rsid w:val="00101C43"/>
    <w:rsid w:val="00110B8C"/>
    <w:rsid w:val="0011539E"/>
    <w:rsid w:val="00125CBF"/>
    <w:rsid w:val="0014073F"/>
    <w:rsid w:val="00140ED2"/>
    <w:rsid w:val="00151A46"/>
    <w:rsid w:val="00166C19"/>
    <w:rsid w:val="0017238C"/>
    <w:rsid w:val="00173B30"/>
    <w:rsid w:val="00177202"/>
    <w:rsid w:val="001B7E14"/>
    <w:rsid w:val="001C19A0"/>
    <w:rsid w:val="001D4159"/>
    <w:rsid w:val="001E0341"/>
    <w:rsid w:val="00224D99"/>
    <w:rsid w:val="002345E6"/>
    <w:rsid w:val="00236194"/>
    <w:rsid w:val="002539A6"/>
    <w:rsid w:val="00256A17"/>
    <w:rsid w:val="002659D4"/>
    <w:rsid w:val="00267EA1"/>
    <w:rsid w:val="0027057B"/>
    <w:rsid w:val="002B11C0"/>
    <w:rsid w:val="002D3CE3"/>
    <w:rsid w:val="002F1ADB"/>
    <w:rsid w:val="002F1FB1"/>
    <w:rsid w:val="00303E7D"/>
    <w:rsid w:val="00317693"/>
    <w:rsid w:val="003303AE"/>
    <w:rsid w:val="003337CB"/>
    <w:rsid w:val="00352A2C"/>
    <w:rsid w:val="00366D91"/>
    <w:rsid w:val="003762C7"/>
    <w:rsid w:val="00384B3D"/>
    <w:rsid w:val="00386C64"/>
    <w:rsid w:val="003935FA"/>
    <w:rsid w:val="003A30B5"/>
    <w:rsid w:val="003B52D1"/>
    <w:rsid w:val="003D0CCB"/>
    <w:rsid w:val="003D5EB6"/>
    <w:rsid w:val="00406448"/>
    <w:rsid w:val="00420AAC"/>
    <w:rsid w:val="004306CB"/>
    <w:rsid w:val="0044564E"/>
    <w:rsid w:val="0044658A"/>
    <w:rsid w:val="0046755F"/>
    <w:rsid w:val="0047748A"/>
    <w:rsid w:val="004846CB"/>
    <w:rsid w:val="00493EB2"/>
    <w:rsid w:val="004B4D53"/>
    <w:rsid w:val="004D2D0F"/>
    <w:rsid w:val="004D4BAF"/>
    <w:rsid w:val="004F6C07"/>
    <w:rsid w:val="005175CD"/>
    <w:rsid w:val="00517A70"/>
    <w:rsid w:val="005437A4"/>
    <w:rsid w:val="00546830"/>
    <w:rsid w:val="00550282"/>
    <w:rsid w:val="00556CA1"/>
    <w:rsid w:val="00574649"/>
    <w:rsid w:val="00580C6E"/>
    <w:rsid w:val="00581080"/>
    <w:rsid w:val="005F2B80"/>
    <w:rsid w:val="00607C48"/>
    <w:rsid w:val="006133AF"/>
    <w:rsid w:val="00615C9C"/>
    <w:rsid w:val="00617129"/>
    <w:rsid w:val="006264C3"/>
    <w:rsid w:val="00643429"/>
    <w:rsid w:val="006661F1"/>
    <w:rsid w:val="0068507E"/>
    <w:rsid w:val="00690143"/>
    <w:rsid w:val="006913EB"/>
    <w:rsid w:val="006A3D95"/>
    <w:rsid w:val="006A69E2"/>
    <w:rsid w:val="006B203F"/>
    <w:rsid w:val="006C762D"/>
    <w:rsid w:val="006D7555"/>
    <w:rsid w:val="006F7B9B"/>
    <w:rsid w:val="0071174C"/>
    <w:rsid w:val="00712F66"/>
    <w:rsid w:val="00714269"/>
    <w:rsid w:val="007267C3"/>
    <w:rsid w:val="00730222"/>
    <w:rsid w:val="0073226D"/>
    <w:rsid w:val="00762395"/>
    <w:rsid w:val="007651E4"/>
    <w:rsid w:val="00765461"/>
    <w:rsid w:val="00780B66"/>
    <w:rsid w:val="00793850"/>
    <w:rsid w:val="007A4100"/>
    <w:rsid w:val="007A5B52"/>
    <w:rsid w:val="007C1174"/>
    <w:rsid w:val="007E604F"/>
    <w:rsid w:val="008067C7"/>
    <w:rsid w:val="0080750D"/>
    <w:rsid w:val="00810FF5"/>
    <w:rsid w:val="008353E3"/>
    <w:rsid w:val="0083624C"/>
    <w:rsid w:val="0083654A"/>
    <w:rsid w:val="008633D8"/>
    <w:rsid w:val="00873698"/>
    <w:rsid w:val="008908A1"/>
    <w:rsid w:val="00894FE4"/>
    <w:rsid w:val="008A1CCC"/>
    <w:rsid w:val="008B2081"/>
    <w:rsid w:val="008D4747"/>
    <w:rsid w:val="008D56A1"/>
    <w:rsid w:val="008F09BC"/>
    <w:rsid w:val="008F7046"/>
    <w:rsid w:val="00917C51"/>
    <w:rsid w:val="0092793D"/>
    <w:rsid w:val="00930409"/>
    <w:rsid w:val="00935813"/>
    <w:rsid w:val="00956BB5"/>
    <w:rsid w:val="00957E5E"/>
    <w:rsid w:val="00971E21"/>
    <w:rsid w:val="00980E49"/>
    <w:rsid w:val="00982AE8"/>
    <w:rsid w:val="0099426E"/>
    <w:rsid w:val="009B2ABE"/>
    <w:rsid w:val="009D0B8B"/>
    <w:rsid w:val="009D1BD4"/>
    <w:rsid w:val="009E22EF"/>
    <w:rsid w:val="009F6832"/>
    <w:rsid w:val="009F696D"/>
    <w:rsid w:val="00A10FF9"/>
    <w:rsid w:val="00A12389"/>
    <w:rsid w:val="00A1433A"/>
    <w:rsid w:val="00A35B5E"/>
    <w:rsid w:val="00A41004"/>
    <w:rsid w:val="00A4261C"/>
    <w:rsid w:val="00A87D06"/>
    <w:rsid w:val="00A96126"/>
    <w:rsid w:val="00AE6363"/>
    <w:rsid w:val="00AE7138"/>
    <w:rsid w:val="00B02C2F"/>
    <w:rsid w:val="00B15716"/>
    <w:rsid w:val="00B33EC1"/>
    <w:rsid w:val="00B4778F"/>
    <w:rsid w:val="00B603F4"/>
    <w:rsid w:val="00B758F3"/>
    <w:rsid w:val="00B75A2D"/>
    <w:rsid w:val="00B956D4"/>
    <w:rsid w:val="00BB110F"/>
    <w:rsid w:val="00BB14FC"/>
    <w:rsid w:val="00BB6ECB"/>
    <w:rsid w:val="00BC1A56"/>
    <w:rsid w:val="00BD42F3"/>
    <w:rsid w:val="00BE01FA"/>
    <w:rsid w:val="00BE7A8D"/>
    <w:rsid w:val="00BF6B0D"/>
    <w:rsid w:val="00C01582"/>
    <w:rsid w:val="00C02447"/>
    <w:rsid w:val="00C16FAF"/>
    <w:rsid w:val="00C25473"/>
    <w:rsid w:val="00C279DB"/>
    <w:rsid w:val="00C41464"/>
    <w:rsid w:val="00C44646"/>
    <w:rsid w:val="00C506EA"/>
    <w:rsid w:val="00C55CC1"/>
    <w:rsid w:val="00C647CA"/>
    <w:rsid w:val="00C7211E"/>
    <w:rsid w:val="00CA2355"/>
    <w:rsid w:val="00CA467E"/>
    <w:rsid w:val="00CB3D0A"/>
    <w:rsid w:val="00CD196F"/>
    <w:rsid w:val="00CF2B10"/>
    <w:rsid w:val="00D146A0"/>
    <w:rsid w:val="00D34581"/>
    <w:rsid w:val="00D366E8"/>
    <w:rsid w:val="00D55580"/>
    <w:rsid w:val="00D57482"/>
    <w:rsid w:val="00D677F0"/>
    <w:rsid w:val="00D763F9"/>
    <w:rsid w:val="00D8211F"/>
    <w:rsid w:val="00D84DF6"/>
    <w:rsid w:val="00DB12B9"/>
    <w:rsid w:val="00DC7056"/>
    <w:rsid w:val="00DD06CF"/>
    <w:rsid w:val="00DF1922"/>
    <w:rsid w:val="00E20ED9"/>
    <w:rsid w:val="00E21D1A"/>
    <w:rsid w:val="00E3774C"/>
    <w:rsid w:val="00E45724"/>
    <w:rsid w:val="00E65B2E"/>
    <w:rsid w:val="00E65EA9"/>
    <w:rsid w:val="00E87C51"/>
    <w:rsid w:val="00E91093"/>
    <w:rsid w:val="00EC18C4"/>
    <w:rsid w:val="00ED6941"/>
    <w:rsid w:val="00F01DB3"/>
    <w:rsid w:val="00F41557"/>
    <w:rsid w:val="00F4227C"/>
    <w:rsid w:val="00F67454"/>
    <w:rsid w:val="00F7196A"/>
    <w:rsid w:val="00F72021"/>
    <w:rsid w:val="00F92C54"/>
    <w:rsid w:val="00FA2EDE"/>
    <w:rsid w:val="00FE393B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9926"/>
  <w15:docId w15:val="{61478F8E-9D43-4DA6-8337-6DADE3D8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406448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76BB-7CAF-4F47-97CA-AA5E2FF6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มณฑิตา  เตียนขุนทด</cp:lastModifiedBy>
  <cp:revision>2</cp:revision>
  <cp:lastPrinted>2013-10-30T06:56:00Z</cp:lastPrinted>
  <dcterms:created xsi:type="dcterms:W3CDTF">2021-07-23T13:44:00Z</dcterms:created>
  <dcterms:modified xsi:type="dcterms:W3CDTF">2021-07-23T13:44:00Z</dcterms:modified>
</cp:coreProperties>
</file>