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D7E4" w14:textId="77777777" w:rsidR="00C02E4B" w:rsidRDefault="00C02E4B" w:rsidP="00C02E4B">
      <w:pPr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</w:pPr>
    </w:p>
    <w:p w14:paraId="23611807" w14:textId="77777777" w:rsidR="004B4C31" w:rsidRDefault="004B4C31" w:rsidP="00C02E4B">
      <w:pPr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</w:pPr>
    </w:p>
    <w:p w14:paraId="5EE381FC" w14:textId="77777777" w:rsidR="004B4C31" w:rsidRPr="00E26EB4" w:rsidRDefault="004B4C31" w:rsidP="00C02E4B">
      <w:pPr>
        <w:rPr>
          <w:rFonts w:ascii="Cordia New" w:hAnsi="Cordia New" w:cs="DilleniaUPC"/>
          <w:color w:val="FF0000"/>
          <w:sz w:val="36"/>
          <w:szCs w:val="36"/>
          <w:cs/>
        </w:rPr>
      </w:pPr>
    </w:p>
    <w:p w14:paraId="58FE7849" w14:textId="77777777" w:rsidR="00C02E4B" w:rsidRPr="004339D1" w:rsidRDefault="00C02E4B" w:rsidP="00C02E4B">
      <w:pPr>
        <w:spacing w:before="240"/>
        <w:jc w:val="center"/>
        <w:rPr>
          <w:rFonts w:ascii="Cordia New" w:hAnsi="Cordia New" w:cs="DilleniaUPC"/>
          <w:b/>
          <w:bCs/>
          <w:sz w:val="30"/>
          <w:szCs w:val="30"/>
          <w:cs/>
        </w:rPr>
      </w:pPr>
    </w:p>
    <w:p w14:paraId="35597D42" w14:textId="77777777" w:rsidR="00C02E4B" w:rsidRDefault="00C02E4B" w:rsidP="00C02E4B">
      <w:pPr>
        <w:jc w:val="center"/>
        <w:rPr>
          <w:rFonts w:ascii="Cordia New" w:hAnsi="Cordia New" w:cs="DilleniaUPC"/>
          <w:b/>
          <w:bCs/>
          <w:sz w:val="36"/>
          <w:szCs w:val="36"/>
        </w:rPr>
      </w:pPr>
      <w:r>
        <w:rPr>
          <w:rFonts w:ascii="Cordia New" w:hAnsi="Cordia New" w:cs="DilleniaUPC" w:hint="cs"/>
          <w:b/>
          <w:bCs/>
          <w:sz w:val="36"/>
          <w:szCs w:val="36"/>
          <w:cs/>
        </w:rPr>
        <w:t>ประกาศ</w:t>
      </w:r>
      <w:r w:rsidRPr="002736DF">
        <w:rPr>
          <w:rFonts w:ascii="Cordia New" w:hAnsi="Cordia New" w:cs="DilleniaUPC" w:hint="cs"/>
          <w:b/>
          <w:bCs/>
          <w:sz w:val="36"/>
          <w:szCs w:val="36"/>
          <w:cs/>
        </w:rPr>
        <w:t>สมาคมบริษัทหลักทรัพย์ไทย</w:t>
      </w:r>
    </w:p>
    <w:p w14:paraId="452726AA" w14:textId="77777777" w:rsidR="00C02E4B" w:rsidRPr="002736DF" w:rsidRDefault="00C02E4B" w:rsidP="00C02E4B">
      <w:pPr>
        <w:jc w:val="center"/>
        <w:rPr>
          <w:rFonts w:ascii="Cordia New" w:hAnsi="Cordia New" w:cs="DilleniaUPC"/>
          <w:b/>
          <w:bCs/>
          <w:sz w:val="36"/>
          <w:szCs w:val="36"/>
          <w:cs/>
        </w:rPr>
      </w:pPr>
      <w:r>
        <w:rPr>
          <w:rFonts w:ascii="Cordia New" w:hAnsi="Cordia New" w:cs="DilleniaUPC" w:hint="cs"/>
          <w:b/>
          <w:bCs/>
          <w:sz w:val="36"/>
          <w:szCs w:val="36"/>
          <w:cs/>
        </w:rPr>
        <w:t xml:space="preserve">ที่ กส. </w:t>
      </w:r>
      <w:r>
        <w:rPr>
          <w:rFonts w:ascii="DilleniaUPC" w:hAnsi="DilleniaUPC" w:cs="DilleniaUPC" w:hint="cs"/>
          <w:b/>
          <w:bCs/>
          <w:sz w:val="36"/>
          <w:szCs w:val="36"/>
          <w:cs/>
        </w:rPr>
        <w:t>3</w:t>
      </w:r>
      <w:r>
        <w:rPr>
          <w:rFonts w:ascii="Cordia New" w:hAnsi="Cordia New" w:cs="DilleniaUPC" w:hint="cs"/>
          <w:b/>
          <w:bCs/>
          <w:sz w:val="36"/>
          <w:szCs w:val="36"/>
          <w:cs/>
        </w:rPr>
        <w:t>/2558</w:t>
      </w:r>
    </w:p>
    <w:p w14:paraId="0A0331DC" w14:textId="77777777" w:rsidR="00C02E4B" w:rsidRPr="00823789" w:rsidRDefault="00C02E4B" w:rsidP="00C02E4B">
      <w:pPr>
        <w:jc w:val="center"/>
        <w:rPr>
          <w:rFonts w:ascii="Cordia New" w:hAnsi="Cordia New" w:cs="DilleniaUPC"/>
          <w:b/>
          <w:bCs/>
          <w:sz w:val="36"/>
          <w:szCs w:val="36"/>
          <w:cs/>
        </w:rPr>
      </w:pPr>
      <w:r>
        <w:rPr>
          <w:rFonts w:ascii="Cordia New" w:hAnsi="Cordia New" w:cs="DilleniaUPC" w:hint="cs"/>
          <w:b/>
          <w:bCs/>
          <w:sz w:val="36"/>
          <w:szCs w:val="36"/>
          <w:cs/>
        </w:rPr>
        <w:t>เรื่อง</w:t>
      </w:r>
      <w:r w:rsidRPr="002736DF">
        <w:rPr>
          <w:rFonts w:ascii="Cordia New" w:hAnsi="Cordia New" w:cs="DilleniaUPC"/>
          <w:b/>
          <w:bCs/>
          <w:sz w:val="36"/>
          <w:szCs w:val="36"/>
          <w:cs/>
        </w:rPr>
        <w:t xml:space="preserve"> </w:t>
      </w:r>
      <w:r>
        <w:rPr>
          <w:rFonts w:ascii="Cordia New" w:hAnsi="Cordia New" w:cs="DilleniaUPC" w:hint="cs"/>
          <w:b/>
          <w:bCs/>
          <w:sz w:val="36"/>
          <w:szCs w:val="36"/>
          <w:cs/>
        </w:rPr>
        <w:t>การจัดกิจกรรมส่งเสริมการขาย</w:t>
      </w:r>
      <w:r w:rsidRPr="002736DF">
        <w:rPr>
          <w:rFonts w:ascii="Cordia New" w:hAnsi="Cordia New" w:cs="DilleniaUPC"/>
          <w:b/>
          <w:bCs/>
          <w:sz w:val="36"/>
          <w:szCs w:val="36"/>
          <w:cs/>
        </w:rPr>
        <w:t xml:space="preserve"> </w:t>
      </w:r>
    </w:p>
    <w:p w14:paraId="379C8031" w14:textId="77777777" w:rsidR="00C02E4B" w:rsidRPr="00365F35" w:rsidRDefault="00C02E4B" w:rsidP="00C02E4B">
      <w:pPr>
        <w:jc w:val="center"/>
        <w:rPr>
          <w:rFonts w:ascii="Cordia New" w:hAnsi="Cordia New" w:cs="DilleniaUPC"/>
          <w:b/>
          <w:bCs/>
          <w:sz w:val="40"/>
          <w:szCs w:val="40"/>
          <w:cs/>
        </w:rPr>
      </w:pPr>
      <w:r>
        <w:rPr>
          <w:rFonts w:ascii="Cordia New" w:hAnsi="Cordia New" w:cs="DilleniaUPC" w:hint="cs"/>
          <w:b/>
          <w:bCs/>
          <w:sz w:val="40"/>
          <w:szCs w:val="40"/>
          <w:cs/>
        </w:rPr>
        <w:t>--------------------------------------</w:t>
      </w:r>
    </w:p>
    <w:p w14:paraId="09EEA548" w14:textId="77777777" w:rsidR="00C02E4B" w:rsidRPr="00D50FD9" w:rsidRDefault="00C02E4B" w:rsidP="00C02E4B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เพื่อให้สมาชิกมีความคล่องตัวในการดำเนินกิจกรรมส่งเสริมการขายภายใต้กรอบของการประกอบธุรกิจที่เหมาะสม และเป็นไปตามการให้บริการลูกค้าโดยปกติของการประกอบธุรกิจหลักทรัพย์  </w:t>
      </w:r>
    </w:p>
    <w:p w14:paraId="23476797" w14:textId="77777777" w:rsidR="00C02E4B" w:rsidRPr="00D50FD9" w:rsidRDefault="00C02E4B" w:rsidP="00C02E4B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cs/>
          <w:lang w:eastAsia="en-US"/>
        </w:rPr>
      </w:pP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อ้างถึงประกาศคณะกรรมการกำกับตลาดทุน</w:t>
      </w:r>
      <w:r w:rsidRPr="00D50FD9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</w:t>
      </w:r>
      <w:r w:rsidRPr="00D50FD9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ทธ. 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35/2556</w:t>
      </w:r>
      <w:r w:rsidRPr="00D50FD9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เรื่อง มาตรฐานการประกอบธุรกิจ โครงสร้างการบริหารงาน ระบบงาน และการให้บริการของผู้ประกอบธุรกิจหลักทรัพย์ และธุรกิจสัญญาซื้อขายล่วงหน้า หมวด 6 การโฆษณาและส่งเสริม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br/>
      </w: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การขาย ส่วนที่ 2 การส่งเสริมการขาย ข้อ 48</w:t>
      </w:r>
    </w:p>
    <w:p w14:paraId="055DDAAF" w14:textId="77777777" w:rsidR="00C02E4B" w:rsidRPr="00D50FD9" w:rsidRDefault="00C02E4B" w:rsidP="00C02E4B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cs/>
          <w:lang w:eastAsia="en-US"/>
        </w:rPr>
      </w:pP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อาศัยอำนาจตามความในข้อ 22</w:t>
      </w:r>
      <w:r w:rsidRPr="00D50FD9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แห่งข้อบังคับสมาคมบริษัทหลักทรัพย์ไทย สมาคมบริษัทหลักทรัพย์ไทยโดยความเห็นชอบของสำนักงานคณะกรรมการกำกับหลักทรัพย์และตลาดหลักทรัพย์ (สำนักงาน ก.ล.ต.) จึงออกประกาศ</w:t>
      </w:r>
      <w:r w:rsidRPr="00D50F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เรื่อง การจัดกิจกรรมส่งเสริมการขาย ให้สมาชิกยึดถือปฏิบัติดัง</w:t>
      </w: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</w:t>
      </w:r>
    </w:p>
    <w:p w14:paraId="7C9B2258" w14:textId="77777777" w:rsidR="00C02E4B" w:rsidRPr="00D50FD9" w:rsidRDefault="00C02E4B" w:rsidP="00C02E4B">
      <w:pPr>
        <w:spacing w:before="160"/>
        <w:ind w:left="357" w:firstLine="357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 ให้ยกเลิก</w:t>
      </w:r>
    </w:p>
    <w:p w14:paraId="668181B4" w14:textId="77777777" w:rsidR="00C02E4B" w:rsidRPr="00D50FD9" w:rsidRDefault="00C02E4B" w:rsidP="00C02E4B">
      <w:pPr>
        <w:pStyle w:val="NoSpacing"/>
        <w:ind w:firstLine="714"/>
        <w:jc w:val="thaiDistribute"/>
        <w:rPr>
          <w:rFonts w:ascii="DilleniaUPC" w:hAnsi="DilleniaUPC" w:cs="DilleniaUPC"/>
          <w:sz w:val="30"/>
          <w:szCs w:val="30"/>
          <w:lang w:eastAsia="en-US"/>
        </w:rPr>
      </w:pPr>
      <w:r w:rsidRPr="00D50FD9">
        <w:rPr>
          <w:rFonts w:ascii="DilleniaUPC" w:hAnsi="DilleniaUPC" w:cs="DilleniaUPC"/>
          <w:sz w:val="30"/>
          <w:szCs w:val="30"/>
          <w:cs/>
          <w:lang w:eastAsia="en-US"/>
        </w:rPr>
        <w:t>ประกาศสมาคมบริษัทหลักทรัพย์ไทย เรื่อง การจัดกิจกรรมส่งเสริมการขายของบริษัทสมาชิก ลงวันที่ 28 พฤศจิกายน 2555</w:t>
      </w:r>
    </w:p>
    <w:p w14:paraId="1159BA6C" w14:textId="77777777" w:rsidR="00C02E4B" w:rsidRPr="00D50FD9" w:rsidRDefault="00C02E4B" w:rsidP="00C02E4B">
      <w:pPr>
        <w:spacing w:before="160"/>
        <w:ind w:left="357" w:firstLine="357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2 ในประกาศนี้</w:t>
      </w:r>
    </w:p>
    <w:p w14:paraId="3A518785" w14:textId="77777777" w:rsidR="00C02E4B" w:rsidRPr="00D50FD9" w:rsidRDefault="00C02E4B" w:rsidP="00C02E4B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D50FD9">
        <w:rPr>
          <w:rFonts w:ascii="DilleniaUPC" w:hAnsi="DilleniaUPC" w:cs="DilleniaUPC"/>
          <w:sz w:val="30"/>
          <w:szCs w:val="30"/>
        </w:rPr>
        <w:t>“</w:t>
      </w:r>
      <w:r w:rsidRPr="00D50FD9">
        <w:rPr>
          <w:rFonts w:ascii="DilleniaUPC" w:hAnsi="DilleniaUPC" w:cs="DilleniaUPC"/>
          <w:sz w:val="30"/>
          <w:szCs w:val="30"/>
          <w:cs/>
        </w:rPr>
        <w:t>สมาคม</w:t>
      </w:r>
      <w:r w:rsidRPr="00D50FD9">
        <w:rPr>
          <w:rFonts w:ascii="DilleniaUPC" w:hAnsi="DilleniaUPC" w:cs="DilleniaUPC"/>
          <w:sz w:val="30"/>
          <w:szCs w:val="30"/>
        </w:rPr>
        <w:t>”</w:t>
      </w:r>
      <w:r w:rsidRPr="00D50FD9">
        <w:rPr>
          <w:rFonts w:ascii="DilleniaUPC" w:hAnsi="DilleniaUPC" w:cs="DilleniaUPC"/>
          <w:sz w:val="30"/>
          <w:szCs w:val="30"/>
          <w:cs/>
        </w:rPr>
        <w:t xml:space="preserve"> หมายความว่า สมาคมบริษัทหลักทรัพย์ไทย</w:t>
      </w:r>
    </w:p>
    <w:p w14:paraId="64C8BB54" w14:textId="77777777" w:rsidR="00C02E4B" w:rsidRPr="00D50FD9" w:rsidRDefault="00C02E4B" w:rsidP="00C02E4B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D50FD9">
        <w:rPr>
          <w:rFonts w:ascii="DilleniaUPC" w:hAnsi="DilleniaUPC" w:cs="DilleniaUPC"/>
          <w:sz w:val="30"/>
          <w:szCs w:val="30"/>
        </w:rPr>
        <w:t>“</w:t>
      </w:r>
      <w:r w:rsidRPr="00D50FD9">
        <w:rPr>
          <w:rFonts w:ascii="DilleniaUPC" w:hAnsi="DilleniaUPC" w:cs="DilleniaUPC"/>
          <w:sz w:val="30"/>
          <w:szCs w:val="30"/>
          <w:cs/>
        </w:rPr>
        <w:t>สมาชิก</w:t>
      </w:r>
      <w:r w:rsidRPr="00D50FD9">
        <w:rPr>
          <w:rFonts w:ascii="DilleniaUPC" w:hAnsi="DilleniaUPC" w:cs="DilleniaUPC"/>
          <w:sz w:val="30"/>
          <w:szCs w:val="30"/>
        </w:rPr>
        <w:t xml:space="preserve">” </w:t>
      </w:r>
      <w:r w:rsidRPr="00D50FD9">
        <w:rPr>
          <w:rFonts w:ascii="DilleniaUPC" w:hAnsi="DilleniaUPC" w:cs="DilleniaUPC"/>
          <w:sz w:val="30"/>
          <w:szCs w:val="30"/>
          <w:cs/>
        </w:rPr>
        <w:t>หมายความว่า สมาชิกสมาคมบริษัทหลักทรัพย์ไทย</w:t>
      </w:r>
    </w:p>
    <w:p w14:paraId="03C76055" w14:textId="77777777" w:rsidR="00C02E4B" w:rsidRPr="00D50FD9" w:rsidRDefault="00C02E4B" w:rsidP="00C02E4B">
      <w:pPr>
        <w:ind w:right="-64" w:firstLine="709"/>
        <w:jc w:val="thaiDistribute"/>
        <w:rPr>
          <w:rFonts w:ascii="DilleniaUPC" w:hAnsi="DilleniaUPC" w:cs="DilleniaUPC"/>
          <w:sz w:val="30"/>
          <w:szCs w:val="30"/>
          <w:cs/>
        </w:rPr>
      </w:pPr>
      <w:r w:rsidRPr="00D50FD9">
        <w:rPr>
          <w:rFonts w:ascii="DilleniaUPC" w:hAnsi="DilleniaUPC" w:cs="DilleniaUPC"/>
          <w:sz w:val="30"/>
          <w:szCs w:val="30"/>
        </w:rPr>
        <w:t xml:space="preserve"> </w:t>
      </w:r>
      <w:r w:rsidRPr="00D50FD9">
        <w:rPr>
          <w:rFonts w:ascii="DilleniaUPC" w:hAnsi="DilleniaUPC" w:cs="DilleniaUPC"/>
          <w:sz w:val="30"/>
          <w:szCs w:val="30"/>
          <w:cs/>
        </w:rPr>
        <w:t xml:space="preserve">“ลูกค้า”  หมายความว่า </w:t>
      </w:r>
      <w:r>
        <w:rPr>
          <w:rFonts w:ascii="DilleniaUPC" w:hAnsi="DilleniaUPC" w:cs="DilleniaUPC" w:hint="cs"/>
          <w:sz w:val="30"/>
          <w:szCs w:val="30"/>
          <w:cs/>
        </w:rPr>
        <w:t>ผู้ใช้บริการของสมาชิก</w:t>
      </w:r>
      <w:r w:rsidRPr="00D50FD9">
        <w:rPr>
          <w:rFonts w:ascii="DilleniaUPC" w:hAnsi="DilleniaUPC" w:cs="DilleniaUPC"/>
          <w:sz w:val="30"/>
          <w:szCs w:val="30"/>
          <w:cs/>
        </w:rPr>
        <w:t xml:space="preserve"> </w:t>
      </w:r>
    </w:p>
    <w:p w14:paraId="12C7560D" w14:textId="77777777" w:rsidR="00C02E4B" w:rsidRPr="00D50FD9" w:rsidRDefault="00C02E4B" w:rsidP="00C02E4B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D50FD9">
        <w:rPr>
          <w:rFonts w:ascii="DilleniaUPC" w:hAnsi="DilleniaUPC" w:cs="DilleniaUPC"/>
          <w:sz w:val="30"/>
          <w:szCs w:val="30"/>
        </w:rPr>
        <w:t xml:space="preserve"> “</w:t>
      </w:r>
      <w:r w:rsidRPr="00D50FD9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Pr="00D50FD9">
        <w:rPr>
          <w:rFonts w:ascii="DilleniaUPC" w:hAnsi="DilleniaUPC" w:cs="DilleniaUPC"/>
          <w:sz w:val="30"/>
          <w:szCs w:val="30"/>
        </w:rPr>
        <w:t xml:space="preserve">” </w:t>
      </w:r>
      <w:r w:rsidRPr="00D50FD9">
        <w:rPr>
          <w:rFonts w:ascii="DilleniaUPC" w:hAnsi="DilleniaUPC" w:cs="DilleniaUPC"/>
          <w:sz w:val="30"/>
          <w:szCs w:val="30"/>
          <w:cs/>
        </w:rPr>
        <w:t xml:space="preserve">หมายความว่า หลักทรัพย์ที่ซื้อขายในตลาดหลักทรัพย์แห่งประเทศไทย หรือ ตลาดหลักทรัพย์ เอ็ม เอ ไอ </w:t>
      </w:r>
    </w:p>
    <w:p w14:paraId="043CFAE8" w14:textId="77777777" w:rsidR="00C02E4B" w:rsidRPr="00D50FD9" w:rsidRDefault="00C02E4B" w:rsidP="00C02E4B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D50FD9">
        <w:rPr>
          <w:rFonts w:ascii="DilleniaUPC" w:hAnsi="DilleniaUPC" w:cs="DilleniaUPC"/>
          <w:sz w:val="30"/>
          <w:szCs w:val="30"/>
          <w:cs/>
        </w:rPr>
        <w:t xml:space="preserve"> </w:t>
      </w:r>
      <w:r w:rsidRPr="00D50FD9">
        <w:rPr>
          <w:rFonts w:ascii="DilleniaUPC" w:hAnsi="DilleniaUPC" w:cs="DilleniaUPC"/>
          <w:sz w:val="30"/>
          <w:szCs w:val="30"/>
        </w:rPr>
        <w:t>“</w:t>
      </w:r>
      <w:r w:rsidRPr="00D50FD9">
        <w:rPr>
          <w:rFonts w:ascii="DilleniaUPC" w:hAnsi="DilleniaUPC" w:cs="DilleniaUPC"/>
          <w:sz w:val="30"/>
          <w:szCs w:val="30"/>
          <w:cs/>
        </w:rPr>
        <w:t>การ</w:t>
      </w:r>
      <w:r w:rsidRPr="00D50FD9">
        <w:rPr>
          <w:rFonts w:ascii="DilleniaUPC" w:hAnsi="DilleniaUPC" w:cs="DilleniaUPC" w:hint="cs"/>
          <w:sz w:val="30"/>
          <w:szCs w:val="30"/>
          <w:cs/>
        </w:rPr>
        <w:t>จัดกิจกรรม</w:t>
      </w:r>
      <w:r w:rsidRPr="00D50FD9">
        <w:rPr>
          <w:rFonts w:ascii="DilleniaUPC" w:hAnsi="DilleniaUPC" w:cs="DilleniaUPC"/>
          <w:sz w:val="30"/>
          <w:szCs w:val="30"/>
          <w:cs/>
        </w:rPr>
        <w:t>ส่งเสริมการขาย</w:t>
      </w:r>
      <w:r w:rsidRPr="00D50FD9">
        <w:rPr>
          <w:rFonts w:ascii="DilleniaUPC" w:hAnsi="DilleniaUPC" w:cs="DilleniaUPC"/>
          <w:sz w:val="30"/>
          <w:szCs w:val="30"/>
        </w:rPr>
        <w:t xml:space="preserve">”   </w:t>
      </w:r>
      <w:r w:rsidRPr="00D50FD9">
        <w:rPr>
          <w:rFonts w:ascii="DilleniaUPC" w:hAnsi="DilleniaUPC" w:cs="DilleniaUPC"/>
          <w:sz w:val="30"/>
          <w:szCs w:val="30"/>
          <w:cs/>
        </w:rPr>
        <w:t>หมายความว่า   การ</w:t>
      </w:r>
      <w:r w:rsidRPr="00D50FD9">
        <w:rPr>
          <w:rFonts w:ascii="DilleniaUPC" w:hAnsi="DilleniaUPC" w:cs="DilleniaUPC" w:hint="cs"/>
          <w:sz w:val="30"/>
          <w:szCs w:val="30"/>
          <w:cs/>
        </w:rPr>
        <w:t>จัดกิจกรรมเพื่อ</w:t>
      </w:r>
      <w:r w:rsidRPr="00D50FD9">
        <w:rPr>
          <w:rFonts w:ascii="DilleniaUPC" w:hAnsi="DilleniaUPC" w:cs="DilleniaUPC"/>
          <w:sz w:val="30"/>
          <w:szCs w:val="30"/>
          <w:cs/>
        </w:rPr>
        <w:t>ให้ของสมนาคุณ ของรางวัล สิทธิ หรือประโยชน์อื่นใดแก่ลูกค้า เพื่อจูงใจให้ลูกค้าใช้บริการหรือตอบแทนที่ลูกค้าใช้บริการ</w:t>
      </w:r>
    </w:p>
    <w:p w14:paraId="32724304" w14:textId="77777777" w:rsidR="00C02E4B" w:rsidRPr="00D50FD9" w:rsidRDefault="00C02E4B" w:rsidP="00C02E4B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D50FD9">
        <w:rPr>
          <w:rFonts w:ascii="DilleniaUPC" w:hAnsi="DilleniaUPC" w:cs="DilleniaUPC"/>
          <w:sz w:val="30"/>
          <w:szCs w:val="30"/>
        </w:rPr>
        <w:t>“</w:t>
      </w:r>
      <w:r w:rsidRPr="00D50FD9">
        <w:rPr>
          <w:rFonts w:ascii="DilleniaUPC" w:hAnsi="DilleniaUPC" w:cs="DilleniaUPC"/>
          <w:sz w:val="30"/>
          <w:szCs w:val="30"/>
          <w:cs/>
        </w:rPr>
        <w:t>มูลค่าของรางวัล</w:t>
      </w:r>
      <w:r w:rsidRPr="00D50FD9">
        <w:rPr>
          <w:rFonts w:ascii="DilleniaUPC" w:hAnsi="DilleniaUPC" w:cs="DilleniaUPC"/>
          <w:sz w:val="30"/>
          <w:szCs w:val="30"/>
        </w:rPr>
        <w:t xml:space="preserve">”   </w:t>
      </w:r>
      <w:r w:rsidRPr="00D50FD9">
        <w:rPr>
          <w:rFonts w:ascii="DilleniaUPC" w:hAnsi="DilleniaUPC" w:cs="DilleniaUPC"/>
          <w:sz w:val="30"/>
          <w:szCs w:val="30"/>
          <w:cs/>
        </w:rPr>
        <w:t>หมายความว่า   มูลค่าของสมนาคุณ ของรางวัล สิทธิ หรือประโยชน์อื่นใดที่มอบให้แก่ลูกค้า เพื่อจูงใจให้ลูกค้าใช้บริการหรือตอบแทนที่ลูกค้าใช้บริการ</w:t>
      </w:r>
    </w:p>
    <w:p w14:paraId="6481B4C9" w14:textId="77777777" w:rsidR="00C02E4B" w:rsidRPr="00D50FD9" w:rsidRDefault="00C02E4B" w:rsidP="00C02E4B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D50FD9">
        <w:rPr>
          <w:rFonts w:ascii="DilleniaUPC" w:hAnsi="DilleniaUPC" w:cs="DilleniaUPC"/>
          <w:sz w:val="30"/>
          <w:szCs w:val="30"/>
          <w:cs/>
        </w:rPr>
        <w:t>นอกเหนือจากคำที่บัญญัติไว้ข้างต้น ให้คำที่</w:t>
      </w:r>
      <w:r w:rsidRPr="00D50FD9">
        <w:rPr>
          <w:rFonts w:ascii="DilleniaUPC" w:hAnsi="DilleniaUPC" w:cs="DilleniaUPC" w:hint="cs"/>
          <w:sz w:val="30"/>
          <w:szCs w:val="30"/>
          <w:cs/>
        </w:rPr>
        <w:t>ปราก</w:t>
      </w:r>
      <w:r>
        <w:rPr>
          <w:rFonts w:ascii="DilleniaUPC" w:hAnsi="DilleniaUPC" w:cs="DilleniaUPC" w:hint="cs"/>
          <w:sz w:val="30"/>
          <w:szCs w:val="30"/>
          <w:cs/>
        </w:rPr>
        <w:t>ฏ</w:t>
      </w:r>
      <w:r w:rsidRPr="00D50FD9">
        <w:rPr>
          <w:rFonts w:ascii="DilleniaUPC" w:hAnsi="DilleniaUPC" w:cs="DilleniaUPC"/>
          <w:sz w:val="30"/>
          <w:szCs w:val="30"/>
          <w:cs/>
        </w:rPr>
        <w:t>ในประกาศฉบับนี้มีความหมายเป็นไปตามนิยาม ที่กำหนดไว้ใน ประกาศคณะกรรมการกำกับตลาดทุน</w:t>
      </w:r>
      <w:r w:rsidRPr="00D50FD9">
        <w:rPr>
          <w:rFonts w:ascii="DilleniaUPC" w:hAnsi="DilleniaUPC" w:cs="DilleniaUPC"/>
          <w:sz w:val="30"/>
          <w:szCs w:val="30"/>
        </w:rPr>
        <w:t xml:space="preserve"> </w:t>
      </w:r>
      <w:r w:rsidRPr="00D50FD9">
        <w:rPr>
          <w:rFonts w:ascii="DilleniaUPC" w:hAnsi="DilleniaUPC" w:cs="DilleniaUPC"/>
          <w:sz w:val="30"/>
          <w:szCs w:val="30"/>
          <w:cs/>
        </w:rPr>
        <w:t>ที่</w:t>
      </w:r>
      <w:r w:rsidRPr="00D50FD9">
        <w:rPr>
          <w:rFonts w:ascii="DilleniaUPC" w:hAnsi="DilleniaUPC" w:cs="DilleniaUPC"/>
          <w:sz w:val="30"/>
          <w:szCs w:val="30"/>
        </w:rPr>
        <w:t xml:space="preserve"> </w:t>
      </w:r>
      <w:r w:rsidRPr="00D50FD9">
        <w:rPr>
          <w:rFonts w:ascii="DilleniaUPC" w:hAnsi="DilleniaUPC" w:cs="DilleniaUPC"/>
          <w:sz w:val="30"/>
          <w:szCs w:val="30"/>
          <w:cs/>
        </w:rPr>
        <w:t xml:space="preserve">ทธ. </w:t>
      </w:r>
      <w:r>
        <w:rPr>
          <w:rFonts w:ascii="DilleniaUPC" w:hAnsi="DilleniaUPC" w:cs="DilleniaUPC" w:hint="cs"/>
          <w:sz w:val="30"/>
          <w:szCs w:val="30"/>
          <w:cs/>
        </w:rPr>
        <w:t>35/2556</w:t>
      </w:r>
      <w:r w:rsidRPr="00D50FD9">
        <w:rPr>
          <w:rFonts w:ascii="DilleniaUPC" w:hAnsi="DilleniaUPC" w:cs="DilleniaUPC"/>
          <w:sz w:val="30"/>
          <w:szCs w:val="30"/>
        </w:rPr>
        <w:t xml:space="preserve"> </w:t>
      </w:r>
      <w:r w:rsidRPr="00D50FD9">
        <w:rPr>
          <w:rFonts w:ascii="DilleniaUPC" w:hAnsi="DilleniaUPC" w:cs="DilleniaUPC"/>
          <w:sz w:val="30"/>
          <w:szCs w:val="30"/>
          <w:cs/>
        </w:rPr>
        <w:t>เรื่อง มาตรฐานการประกอบธุรกิจ โครงสร้างการบริหารงาน ระบบงาน และการให้บริการของผู้ประกอบธุรกิจหลักทรัพย์ และธุรกิจสัญญาซื้อขายล่วงหน้าเท่าที่ไม่ขัดหรือแย้งกับประกาศฉบับนี้</w:t>
      </w:r>
    </w:p>
    <w:p w14:paraId="5F017608" w14:textId="77777777" w:rsidR="00C02E4B" w:rsidRPr="00D50FD9" w:rsidRDefault="00C02E4B" w:rsidP="00C02E4B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D50F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3 </w:t>
      </w: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สมาชิก</w:t>
      </w:r>
      <w:r w:rsidRPr="00D50F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</w:t>
      </w: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จัดกิจกรรมส่งเสริมการขาย</w:t>
      </w:r>
      <w:r w:rsidRPr="00D50F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เป็นไปตามหลักเกณฑ์ เงื่อนไข และวิธีการที่กำหนดไว้ในประกาศนี้</w:t>
      </w:r>
    </w:p>
    <w:p w14:paraId="561A0A24" w14:textId="77777777" w:rsidR="00C02E4B" w:rsidRPr="00490E24" w:rsidRDefault="00C02E4B" w:rsidP="00C02E4B">
      <w:pPr>
        <w:tabs>
          <w:tab w:val="left" w:pos="0"/>
          <w:tab w:val="left" w:pos="720"/>
        </w:tabs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lastRenderedPageBreak/>
        <w:tab/>
        <w:t xml:space="preserve">ข้อ 4 </w:t>
      </w:r>
      <w:r w:rsidRPr="00D50F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มูลค่าของ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รางวัล</w:t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ในการจัดกิจกรรมส่งเสริมการขาย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แต่ละปี</w:t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>ต้องไม่เกินกว่าร้อยละ 2 ของรายได้ค่าธรรมเนียมจาก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br/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การซื้อขายหลักทรัพย์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ที่สมาชิกได้รับในปีที่ผ่านมา หรือ</w:t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ในปี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ปัจจุบัน ทั้งนี้ให้เลือกอย่างใดอย่างหนึ่งและยึดถือปฏิบัติไปโดยตลอด </w:t>
      </w:r>
    </w:p>
    <w:p w14:paraId="4003DCDF" w14:textId="77777777" w:rsidR="00C02E4B" w:rsidRPr="00490E24" w:rsidRDefault="00C02E4B" w:rsidP="00C02E4B">
      <w:pPr>
        <w:tabs>
          <w:tab w:val="left" w:pos="0"/>
          <w:tab w:val="left" w:pos="720"/>
        </w:tabs>
        <w:spacing w:before="16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5</w:t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มูลค่าของรางวัลสำหรับลูกค้าแต่ละรายต้องไม่เกิน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สอง</w:t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>พัน (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</w:t>
      </w:r>
      <w:r w:rsidRPr="00490E24">
        <w:rPr>
          <w:rFonts w:ascii="DilleniaUPC" w:eastAsia="Calibri" w:hAnsi="DilleniaUPC" w:cs="DilleniaUPC"/>
          <w:sz w:val="30"/>
          <w:szCs w:val="30"/>
          <w:lang w:eastAsia="en-US"/>
        </w:rPr>
        <w:t>,000</w:t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>) บาท หรือไม่เกินร้อยละ 2 ของรายได้ค่าธรรมเนียมจากการซื้อขายหลักทรัพย์ที่ได้รับจากลูกค้ารายนั้น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แล้วแต่มูลค่าใดจะสูงกว่า</w:t>
      </w:r>
    </w:p>
    <w:p w14:paraId="6F3D3006" w14:textId="77777777" w:rsidR="00C02E4B" w:rsidRPr="00490E24" w:rsidRDefault="00C02E4B" w:rsidP="00C02E4B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ให้รายได้ค่าธรรมเนียมจากการซื้อขายหลักทรัพย์ที่ได้รับจากลูกค้าตามวรรคหนึ่ง เป็นรายได้ค่าธรรมเนียมจากการซื้อขายหลักทรัพย์ที่ได้รับจากลูกค้าในปีที่ผ่านมา หรือในปีปัจจุบัน อย่างใดอย่างหนึ่งตามวิธีที่สมาชิกยึดถือปฏิบัติตามข้อ 4</w:t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14:paraId="19684E4B" w14:textId="77777777" w:rsidR="00C02E4B" w:rsidRPr="00490E24" w:rsidRDefault="00C02E4B" w:rsidP="00C02E4B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6</w:t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สมาชิกต้องไม่กำหนดหลักเกณฑ์ เงื่อนไข คุณสมบัติ ในการให้ของรางวัลแก่ลูกค้าอันเป็นการตอบแทนให้ลูกค้า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br/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รายใดรายหนึ่งโดยเฉพาะเจาะจง โดยของรางวัลที่ให้กับลูกค้าต้องไม่อยู่ในรูปของเงินสด เช็คธนาคาร และทองคำ </w:t>
      </w:r>
    </w:p>
    <w:p w14:paraId="51904D51" w14:textId="77777777" w:rsidR="00C02E4B" w:rsidRPr="00490E24" w:rsidRDefault="00C02E4B" w:rsidP="00C02E4B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cs/>
          <w:lang w:eastAsia="en-US"/>
        </w:rPr>
      </w:pP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7</w:t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ห้ามสมาชิกจัดกิจกรรมส่งเสริมการขายในลักษณะจับสลากหรือชิงโชค</w:t>
      </w:r>
      <w:r w:rsidRPr="00490E24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</w:p>
    <w:p w14:paraId="27F2ED80" w14:textId="77777777" w:rsidR="00C02E4B" w:rsidRPr="00490E24" w:rsidRDefault="00C02E4B" w:rsidP="00C02E4B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Pr="00490E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8</w:t>
      </w: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เมื่อสิ้นสุดการจัดกิจกรรมส่งเสริมการขาย ให้สมาชิกจัดทำรายงานการจัดกิจกรรมส่งเสริมการขายตามแบบและระยะเวลาที่สมาคมกำหนด </w:t>
      </w:r>
    </w:p>
    <w:p w14:paraId="2D8E0F82" w14:textId="77777777" w:rsidR="00C02E4B" w:rsidRPr="00490E24" w:rsidRDefault="00C02E4B" w:rsidP="00C02E4B">
      <w:pPr>
        <w:ind w:right="-64"/>
        <w:contextualSpacing/>
        <w:rPr>
          <w:rFonts w:ascii="DilleniaUPC" w:eastAsia="Calibri" w:hAnsi="DilleniaUPC" w:cs="DilleniaUPC"/>
          <w:sz w:val="30"/>
          <w:szCs w:val="30"/>
          <w:lang w:eastAsia="en-US"/>
        </w:rPr>
      </w:pPr>
    </w:p>
    <w:p w14:paraId="3DF5B70F" w14:textId="77777777" w:rsidR="00C02E4B" w:rsidRPr="00D50FD9" w:rsidRDefault="00C02E4B" w:rsidP="001B107C">
      <w:pPr>
        <w:ind w:right="-64"/>
        <w:contextualSpacing/>
        <w:rPr>
          <w:rFonts w:ascii="DilleniaUPC" w:eastAsia="Calibri" w:hAnsi="DilleniaUPC" w:cs="DilleniaUPC"/>
          <w:sz w:val="30"/>
          <w:szCs w:val="30"/>
          <w:cs/>
          <w:lang w:eastAsia="en-US"/>
        </w:rPr>
      </w:pPr>
      <w:r w:rsidRPr="00490E24">
        <w:rPr>
          <w:rFonts w:ascii="DilleniaUPC" w:eastAsia="Calibri" w:hAnsi="DilleniaUPC" w:cs="DilleniaUPC"/>
          <w:sz w:val="30"/>
          <w:szCs w:val="30"/>
          <w:cs/>
          <w:lang w:eastAsia="en-US"/>
        </w:rPr>
        <w:t>ประกาศนี้มีผลใช้บังคับตั้งแต่</w:t>
      </w:r>
      <w:r w:rsidRPr="00D50FD9">
        <w:rPr>
          <w:rFonts w:ascii="DilleniaUPC" w:eastAsia="Calibri" w:hAnsi="DilleniaUPC" w:cs="DilleniaUPC"/>
          <w:sz w:val="30"/>
          <w:szCs w:val="30"/>
          <w:cs/>
          <w:lang w:eastAsia="en-US"/>
        </w:rPr>
        <w:t>วันถัดจากวันประกาศเป็นต้นไป</w:t>
      </w:r>
    </w:p>
    <w:p w14:paraId="167C8335" w14:textId="77777777" w:rsidR="00C02E4B" w:rsidRPr="00D50FD9" w:rsidRDefault="00C02E4B" w:rsidP="00C02E4B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Cs w:val="24"/>
          <w:lang w:eastAsia="ko-KR"/>
        </w:rPr>
      </w:pPr>
    </w:p>
    <w:p w14:paraId="41C24A0B" w14:textId="77777777" w:rsidR="00C02E4B" w:rsidRPr="00D50FD9" w:rsidRDefault="00C02E4B" w:rsidP="00C02E4B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Cs w:val="24"/>
          <w:lang w:eastAsia="ko-KR"/>
        </w:rPr>
      </w:pPr>
    </w:p>
    <w:p w14:paraId="559F4DE7" w14:textId="77777777" w:rsidR="00C02E4B" w:rsidRPr="00D50FD9" w:rsidRDefault="00C02E4B" w:rsidP="00C02E4B">
      <w:pPr>
        <w:tabs>
          <w:tab w:val="left" w:pos="567"/>
          <w:tab w:val="center" w:pos="5812"/>
        </w:tabs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D50FD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D50FD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  <w:t xml:space="preserve">ประกาศ ณ วันที่ </w:t>
      </w:r>
      <w:r w:rsidR="00AD5C45">
        <w:rPr>
          <w:rFonts w:ascii="DilleniaUPC" w:eastAsia="Times New Roman" w:hAnsi="DilleniaUPC" w:cs="DilleniaUPC"/>
          <w:sz w:val="30"/>
          <w:szCs w:val="30"/>
          <w:lang w:eastAsia="en-US"/>
        </w:rPr>
        <w:t>21</w:t>
      </w: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กันยายน 2558</w:t>
      </w:r>
    </w:p>
    <w:p w14:paraId="5B7C82D0" w14:textId="77777777" w:rsidR="00C02E4B" w:rsidRPr="00D50FD9" w:rsidRDefault="00C02E4B" w:rsidP="00C02E4B">
      <w:pPr>
        <w:tabs>
          <w:tab w:val="left" w:pos="567"/>
          <w:tab w:val="center" w:pos="5760"/>
        </w:tabs>
        <w:ind w:right="-64"/>
        <w:rPr>
          <w:rFonts w:ascii="DilleniaUPC" w:eastAsia="Times New Roman" w:hAnsi="DilleniaUPC" w:cs="DilleniaUPC"/>
          <w:szCs w:val="24"/>
          <w:lang w:eastAsia="en-US"/>
        </w:rPr>
      </w:pPr>
      <w:r w:rsidRPr="00D50FD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D50FD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</w:p>
    <w:p w14:paraId="52B354FB" w14:textId="77777777" w:rsidR="00C02E4B" w:rsidRPr="00D50FD9" w:rsidRDefault="00C02E4B" w:rsidP="00C02E4B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28"/>
        </w:rPr>
      </w:pPr>
    </w:p>
    <w:p w14:paraId="44CFFED8" w14:textId="77777777" w:rsidR="00C02E4B" w:rsidRPr="00D50FD9" w:rsidRDefault="00C02E4B" w:rsidP="00C02E4B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26"/>
          <w:szCs w:val="26"/>
          <w:cs/>
        </w:rPr>
      </w:pPr>
    </w:p>
    <w:p w14:paraId="7A708041" w14:textId="77777777" w:rsidR="00C02E4B" w:rsidRPr="00D50FD9" w:rsidRDefault="00C02E4B" w:rsidP="00C02E4B">
      <w:pPr>
        <w:tabs>
          <w:tab w:val="center" w:pos="5812"/>
        </w:tabs>
        <w:ind w:right="-64"/>
        <w:jc w:val="both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D50FD9">
        <w:rPr>
          <w:rFonts w:ascii="DilleniaUPC" w:eastAsia="Batang" w:hAnsi="DilleniaUPC" w:cs="DilleniaUPC"/>
          <w:sz w:val="30"/>
          <w:szCs w:val="30"/>
          <w:cs/>
          <w:lang w:eastAsia="ko-KR"/>
        </w:rPr>
        <w:tab/>
        <w:t>(นางภัทธีรา  ดิลกรุ่งธีระภพ)</w:t>
      </w:r>
    </w:p>
    <w:p w14:paraId="48F52B02" w14:textId="77777777" w:rsidR="00C02E4B" w:rsidRPr="00D50FD9" w:rsidRDefault="00C02E4B" w:rsidP="00C02E4B">
      <w:pPr>
        <w:tabs>
          <w:tab w:val="left" w:pos="567"/>
          <w:tab w:val="center" w:pos="5812"/>
        </w:tabs>
        <w:ind w:right="-64"/>
        <w:rPr>
          <w:rFonts w:ascii="DilleniaUPC" w:eastAsia="Times New Roman" w:hAnsi="DilleniaUPC" w:cs="DilleniaUPC"/>
          <w:sz w:val="30"/>
          <w:szCs w:val="30"/>
          <w:cs/>
          <w:lang w:eastAsia="en-US"/>
        </w:rPr>
      </w:pPr>
      <w:r w:rsidRPr="00D50FD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     </w:t>
      </w:r>
      <w:r w:rsidRPr="00D50FD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D50FD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D50FD9">
        <w:rPr>
          <w:rFonts w:ascii="DilleniaUPC" w:hAnsi="DilleniaUPC" w:cs="DilleniaUPC"/>
          <w:sz w:val="30"/>
          <w:szCs w:val="30"/>
          <w:cs/>
        </w:rPr>
        <w:t>นายกสมาคม</w:t>
      </w:r>
    </w:p>
    <w:p w14:paraId="007FCD10" w14:textId="77777777" w:rsidR="0085432E" w:rsidRDefault="0085432E"/>
    <w:sectPr w:rsidR="0085432E" w:rsidSect="004B0B7F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1134" w:bottom="1418" w:left="1361" w:header="720" w:footer="59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2CB9" w14:textId="77777777" w:rsidR="002F7070" w:rsidRDefault="002F7070">
      <w:r>
        <w:separator/>
      </w:r>
    </w:p>
  </w:endnote>
  <w:endnote w:type="continuationSeparator" w:id="0">
    <w:p w14:paraId="49E3699A" w14:textId="77777777" w:rsidR="002F7070" w:rsidRDefault="002F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CB9C" w14:textId="77777777" w:rsidR="00CE5791" w:rsidRPr="00D6154C" w:rsidRDefault="00C02E4B" w:rsidP="00D140C8">
    <w:pPr>
      <w:pStyle w:val="Footer"/>
      <w:ind w:right="-87"/>
      <w:jc w:val="right"/>
      <w:rPr>
        <w:sz w:val="22"/>
        <w:szCs w:val="24"/>
      </w:rPr>
    </w:pPr>
    <w:r w:rsidRPr="00B705CC">
      <w:rPr>
        <w:rFonts w:ascii="DilleniaUPC" w:hAnsi="DilleniaUPC" w:cs="DilleniaUPC" w:hint="cs"/>
        <w:sz w:val="28"/>
        <w:cs/>
      </w:rPr>
      <w:t>การ</w:t>
    </w:r>
    <w:r>
      <w:rPr>
        <w:rFonts w:ascii="DilleniaUPC" w:hAnsi="DilleniaUPC" w:cs="DilleniaUPC" w:hint="cs"/>
        <w:sz w:val="28"/>
        <w:cs/>
      </w:rPr>
      <w:t>จัดกิจกรรมส่งเสริมการขาย</w:t>
    </w:r>
    <w:r w:rsidRPr="00D6154C">
      <w:rPr>
        <w:rFonts w:ascii="DilleniaUPC" w:hAnsi="DilleniaUPC" w:cs="DilleniaUPC"/>
        <w:sz w:val="28"/>
        <w:cs/>
      </w:rPr>
      <w:t xml:space="preserve"> หน้า</w:t>
    </w:r>
    <w:r w:rsidRPr="00D6154C">
      <w:rPr>
        <w:rFonts w:ascii="DilleniaUPC" w:hAnsi="DilleniaUPC" w:cs="DilleniaUPC"/>
        <w:sz w:val="28"/>
      </w:rPr>
      <w:t xml:space="preserve"> </w:t>
    </w:r>
    <w:r w:rsidRPr="00D6154C">
      <w:rPr>
        <w:rFonts w:ascii="DilleniaUPC" w:hAnsi="DilleniaUPC" w:cs="DilleniaUPC"/>
        <w:sz w:val="28"/>
      </w:rPr>
      <w:fldChar w:fldCharType="begin"/>
    </w:r>
    <w:r w:rsidRPr="00D6154C">
      <w:rPr>
        <w:rFonts w:ascii="DilleniaUPC" w:hAnsi="DilleniaUPC" w:cs="DilleniaUPC"/>
        <w:sz w:val="28"/>
      </w:rPr>
      <w:instrText xml:space="preserve"> PAGE </w:instrText>
    </w:r>
    <w:r w:rsidRPr="00D6154C">
      <w:rPr>
        <w:rFonts w:ascii="DilleniaUPC" w:hAnsi="DilleniaUPC" w:cs="DilleniaUPC"/>
        <w:sz w:val="28"/>
      </w:rPr>
      <w:fldChar w:fldCharType="separate"/>
    </w:r>
    <w:r w:rsidR="004B4C31">
      <w:rPr>
        <w:rFonts w:ascii="DilleniaUPC" w:hAnsi="DilleniaUPC" w:cs="DilleniaUPC"/>
        <w:noProof/>
        <w:sz w:val="28"/>
      </w:rPr>
      <w:t>2</w:t>
    </w:r>
    <w:r w:rsidRPr="00D6154C">
      <w:rPr>
        <w:rFonts w:ascii="DilleniaUPC" w:hAnsi="DilleniaUPC" w:cs="DilleniaUPC"/>
        <w:sz w:val="28"/>
      </w:rPr>
      <w:fldChar w:fldCharType="end"/>
    </w:r>
    <w:r w:rsidRPr="00D6154C">
      <w:rPr>
        <w:rFonts w:ascii="DilleniaUPC" w:hAnsi="DilleniaUPC" w:cs="DilleniaUPC"/>
        <w:sz w:val="28"/>
      </w:rPr>
      <w:t xml:space="preserve"> / </w:t>
    </w:r>
    <w:r w:rsidRPr="00D6154C">
      <w:rPr>
        <w:rFonts w:ascii="DilleniaUPC" w:hAnsi="DilleniaUPC" w:cs="DilleniaUPC"/>
        <w:sz w:val="28"/>
      </w:rPr>
      <w:fldChar w:fldCharType="begin"/>
    </w:r>
    <w:r w:rsidRPr="00D6154C">
      <w:rPr>
        <w:rFonts w:ascii="DilleniaUPC" w:hAnsi="DilleniaUPC" w:cs="DilleniaUPC"/>
        <w:sz w:val="28"/>
      </w:rPr>
      <w:instrText xml:space="preserve"> NUMPAGES  </w:instrText>
    </w:r>
    <w:r w:rsidRPr="00D6154C">
      <w:rPr>
        <w:rFonts w:ascii="DilleniaUPC" w:hAnsi="DilleniaUPC" w:cs="DilleniaUPC"/>
        <w:sz w:val="28"/>
      </w:rPr>
      <w:fldChar w:fldCharType="separate"/>
    </w:r>
    <w:r w:rsidR="004B4C31">
      <w:rPr>
        <w:rFonts w:ascii="DilleniaUPC" w:hAnsi="DilleniaUPC" w:cs="DilleniaUPC"/>
        <w:noProof/>
        <w:sz w:val="28"/>
      </w:rPr>
      <w:t>2</w:t>
    </w:r>
    <w:r w:rsidRPr="00D6154C">
      <w:rPr>
        <w:rFonts w:ascii="DilleniaUPC" w:hAnsi="DilleniaUPC" w:cs="DilleniaUPC"/>
        <w:sz w:val="28"/>
      </w:rPr>
      <w:fldChar w:fldCharType="end"/>
    </w:r>
  </w:p>
  <w:p w14:paraId="2E14FAA3" w14:textId="77777777" w:rsidR="00CE5791" w:rsidRDefault="00C02E4B">
    <w:pPr>
      <w:pStyle w:val="Footer"/>
    </w:pPr>
    <w:r>
      <w:rPr>
        <w:rFonts w:hint="cs"/>
        <w: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6017" w14:textId="77777777" w:rsidR="00CE5791" w:rsidRDefault="002F7070">
    <w:pPr>
      <w:ind w:right="260"/>
      <w:rPr>
        <w:color w:val="0F243E"/>
        <w:sz w:val="26"/>
        <w:szCs w:val="26"/>
      </w:rPr>
    </w:pPr>
  </w:p>
  <w:p w14:paraId="1BF62634" w14:textId="77777777" w:rsidR="00CE5791" w:rsidRPr="001A0A25" w:rsidRDefault="00C02E4B" w:rsidP="00D140C8">
    <w:pPr>
      <w:pStyle w:val="Footer"/>
      <w:ind w:right="-87"/>
      <w:jc w:val="right"/>
      <w:rPr>
        <w:sz w:val="28"/>
      </w:rPr>
    </w:pPr>
    <w:r w:rsidRPr="001A0A25">
      <w:rPr>
        <w:rFonts w:ascii="DilleniaUPC" w:hAnsi="DilleniaUPC" w:cs="DilleniaUPC" w:hint="cs"/>
        <w:sz w:val="28"/>
        <w:cs/>
      </w:rPr>
      <w:t>การ</w:t>
    </w:r>
    <w:r>
      <w:rPr>
        <w:rFonts w:ascii="DilleniaUPC" w:hAnsi="DilleniaUPC" w:cs="DilleniaUPC" w:hint="cs"/>
        <w:sz w:val="28"/>
        <w:cs/>
      </w:rPr>
      <w:t>จัดกิจกรรมส่งเสริมการขาย</w:t>
    </w:r>
    <w:r w:rsidRPr="001A0A25">
      <w:rPr>
        <w:rFonts w:ascii="DilleniaUPC" w:hAnsi="DilleniaUPC" w:cs="DilleniaUPC"/>
        <w:sz w:val="28"/>
        <w:cs/>
      </w:rPr>
      <w:t xml:space="preserve"> หน้า</w:t>
    </w:r>
    <w:r w:rsidRPr="001A0A25">
      <w:rPr>
        <w:rFonts w:ascii="DilleniaUPC" w:hAnsi="DilleniaUPC" w:cs="DilleniaUPC"/>
        <w:sz w:val="28"/>
      </w:rPr>
      <w:t xml:space="preserve"> </w:t>
    </w:r>
    <w:r w:rsidRPr="001A0A25">
      <w:rPr>
        <w:rFonts w:ascii="DilleniaUPC" w:hAnsi="DilleniaUPC" w:cs="DilleniaUPC"/>
        <w:sz w:val="28"/>
      </w:rPr>
      <w:fldChar w:fldCharType="begin"/>
    </w:r>
    <w:r w:rsidRPr="001A0A25">
      <w:rPr>
        <w:rFonts w:ascii="DilleniaUPC" w:hAnsi="DilleniaUPC" w:cs="DilleniaUPC"/>
        <w:sz w:val="28"/>
      </w:rPr>
      <w:instrText xml:space="preserve"> PAGE </w:instrText>
    </w:r>
    <w:r w:rsidRPr="001A0A25">
      <w:rPr>
        <w:rFonts w:ascii="DilleniaUPC" w:hAnsi="DilleniaUPC" w:cs="DilleniaUPC"/>
        <w:sz w:val="28"/>
      </w:rPr>
      <w:fldChar w:fldCharType="separate"/>
    </w:r>
    <w:r w:rsidR="004B4C31">
      <w:rPr>
        <w:rFonts w:ascii="DilleniaUPC" w:hAnsi="DilleniaUPC" w:cs="DilleniaUPC"/>
        <w:noProof/>
        <w:sz w:val="28"/>
      </w:rPr>
      <w:t>1</w:t>
    </w:r>
    <w:r w:rsidRPr="001A0A25">
      <w:rPr>
        <w:rFonts w:ascii="DilleniaUPC" w:hAnsi="DilleniaUPC" w:cs="DilleniaUPC"/>
        <w:sz w:val="28"/>
      </w:rPr>
      <w:fldChar w:fldCharType="end"/>
    </w:r>
    <w:r w:rsidRPr="001A0A25">
      <w:rPr>
        <w:rFonts w:ascii="DilleniaUPC" w:hAnsi="DilleniaUPC" w:cs="DilleniaUPC"/>
        <w:sz w:val="28"/>
      </w:rPr>
      <w:t xml:space="preserve"> / </w:t>
    </w:r>
    <w:r w:rsidRPr="001A0A25">
      <w:rPr>
        <w:rFonts w:ascii="DilleniaUPC" w:hAnsi="DilleniaUPC" w:cs="DilleniaUPC"/>
        <w:sz w:val="28"/>
      </w:rPr>
      <w:fldChar w:fldCharType="begin"/>
    </w:r>
    <w:r w:rsidRPr="001A0A25">
      <w:rPr>
        <w:rFonts w:ascii="DilleniaUPC" w:hAnsi="DilleniaUPC" w:cs="DilleniaUPC"/>
        <w:sz w:val="28"/>
      </w:rPr>
      <w:instrText xml:space="preserve"> NUMPAGES  </w:instrText>
    </w:r>
    <w:r w:rsidRPr="001A0A25">
      <w:rPr>
        <w:rFonts w:ascii="DilleniaUPC" w:hAnsi="DilleniaUPC" w:cs="DilleniaUPC"/>
        <w:sz w:val="28"/>
      </w:rPr>
      <w:fldChar w:fldCharType="separate"/>
    </w:r>
    <w:r w:rsidR="004B4C31">
      <w:rPr>
        <w:rFonts w:ascii="DilleniaUPC" w:hAnsi="DilleniaUPC" w:cs="DilleniaUPC"/>
        <w:noProof/>
        <w:sz w:val="28"/>
      </w:rPr>
      <w:t>2</w:t>
    </w:r>
    <w:r w:rsidRPr="001A0A25">
      <w:rPr>
        <w:rFonts w:ascii="DilleniaUPC" w:hAnsi="DilleniaUPC" w:cs="DilleniaUPC"/>
        <w:sz w:val="28"/>
      </w:rPr>
      <w:fldChar w:fldCharType="end"/>
    </w:r>
  </w:p>
  <w:p w14:paraId="4D24562E" w14:textId="77777777" w:rsidR="00CE5791" w:rsidRPr="001A0A25" w:rsidRDefault="002F7070" w:rsidP="001A0A25">
    <w:pPr>
      <w:pStyle w:val="Footer"/>
      <w:ind w:right="-483"/>
      <w:jc w:val="right"/>
      <w:rPr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DCDB" w14:textId="77777777" w:rsidR="002F7070" w:rsidRDefault="002F7070">
      <w:r>
        <w:separator/>
      </w:r>
    </w:p>
  </w:footnote>
  <w:footnote w:type="continuationSeparator" w:id="0">
    <w:p w14:paraId="52E14266" w14:textId="77777777" w:rsidR="002F7070" w:rsidRDefault="002F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6F6F" w14:textId="77777777" w:rsidR="00CE5791" w:rsidRDefault="00C02E4B" w:rsidP="0040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1B1B491" w14:textId="77777777" w:rsidR="00CE5791" w:rsidRDefault="002F7070" w:rsidP="008E59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5FAA" w14:textId="77777777" w:rsidR="00CE5791" w:rsidRPr="008E591E" w:rsidRDefault="002F7070" w:rsidP="008E591E">
    <w:pPr>
      <w:pStyle w:val="Header"/>
      <w:framePr w:wrap="around" w:vAnchor="text" w:hAnchor="page" w:x="10261" w:y="1"/>
      <w:rPr>
        <w:rStyle w:val="PageNumber"/>
        <w:rFonts w:cs="DilleniaUPC"/>
        <w:sz w:val="30"/>
        <w:szCs w:val="30"/>
      </w:rPr>
    </w:pPr>
  </w:p>
  <w:p w14:paraId="6D49F670" w14:textId="77777777" w:rsidR="00CE5791" w:rsidRDefault="002F7070" w:rsidP="008E591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4B"/>
    <w:rsid w:val="00151AB7"/>
    <w:rsid w:val="001B107C"/>
    <w:rsid w:val="002F7070"/>
    <w:rsid w:val="00427F88"/>
    <w:rsid w:val="004B4C31"/>
    <w:rsid w:val="0058587A"/>
    <w:rsid w:val="00836BAD"/>
    <w:rsid w:val="0085432E"/>
    <w:rsid w:val="00AD5C45"/>
    <w:rsid w:val="00B713D9"/>
    <w:rsid w:val="00B9498B"/>
    <w:rsid w:val="00C02E4B"/>
    <w:rsid w:val="00FC0EA9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AEDB"/>
  <w15:docId w15:val="{51E24C46-EEFE-41F0-A26C-82BF957E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4B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2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02E4B"/>
    <w:rPr>
      <w:rFonts w:ascii="Times New Roman" w:eastAsia="MS Mincho" w:hAnsi="Times New Roman" w:cs="Angsana New"/>
      <w:sz w:val="24"/>
      <w:lang w:eastAsia="ja-JP"/>
    </w:rPr>
  </w:style>
  <w:style w:type="character" w:styleId="PageNumber">
    <w:name w:val="page number"/>
    <w:basedOn w:val="DefaultParagraphFont"/>
    <w:rsid w:val="00C02E4B"/>
  </w:style>
  <w:style w:type="paragraph" w:styleId="Footer">
    <w:name w:val="footer"/>
    <w:basedOn w:val="Normal"/>
    <w:link w:val="FooterChar"/>
    <w:uiPriority w:val="99"/>
    <w:rsid w:val="00C02E4B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C02E4B"/>
    <w:rPr>
      <w:rFonts w:ascii="Times New Roman" w:eastAsia="MS Mincho" w:hAnsi="Times New Roman" w:cs="Angsana New"/>
      <w:sz w:val="24"/>
      <w:lang w:val="x-none" w:eastAsia="ja-JP"/>
    </w:rPr>
  </w:style>
  <w:style w:type="paragraph" w:styleId="NoSpacing">
    <w:name w:val="No Spacing"/>
    <w:uiPriority w:val="1"/>
    <w:qFormat/>
    <w:rsid w:val="00C02E4B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4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4B"/>
    <w:rPr>
      <w:rFonts w:ascii="Tahoma" w:eastAsia="MS Mincho" w:hAnsi="Tahoma" w:cs="Angsana New"/>
      <w:sz w:val="16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Bawornpan Ashakul</dc:creator>
  <cp:lastModifiedBy>มณฑิตา  เตียนขุนทด</cp:lastModifiedBy>
  <cp:revision>2</cp:revision>
  <cp:lastPrinted>2015-09-18T04:05:00Z</cp:lastPrinted>
  <dcterms:created xsi:type="dcterms:W3CDTF">2021-07-23T12:55:00Z</dcterms:created>
  <dcterms:modified xsi:type="dcterms:W3CDTF">2021-07-23T12:55:00Z</dcterms:modified>
</cp:coreProperties>
</file>