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02" w:rsidRPr="000F502E" w:rsidRDefault="008744D6" w:rsidP="007D66BA">
      <w:pPr>
        <w:ind w:right="-64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</wp:posOffset>
                </wp:positionH>
                <wp:positionV relativeFrom="paragraph">
                  <wp:posOffset>-76352</wp:posOffset>
                </wp:positionV>
                <wp:extent cx="1806855" cy="892454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855" cy="892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D6" w:rsidRDefault="00874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pt;width:142.25pt;height:7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" filled="f" stroked="f" strokeweight=".5pt">
                <v:textbox>
                  <w:txbxContent>
                    <w:p w:rsidR="008744D6" w:rsidRDefault="008744D6"/>
                  </w:txbxContent>
                </v:textbox>
              </v:shape>
            </w:pict>
          </mc:Fallback>
        </mc:AlternateContent>
      </w:r>
    </w:p>
    <w:p w:rsidR="007D66BA" w:rsidRDefault="007D66BA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</w:p>
    <w:p w:rsidR="008744D6" w:rsidRDefault="008744D6" w:rsidP="003762C7">
      <w:pPr>
        <w:ind w:right="-64"/>
        <w:jc w:val="center"/>
        <w:rPr>
          <w:rFonts w:ascii="DilleniaUPC" w:hAnsi="DilleniaUPC" w:cs="DilleniaUPC" w:hint="cs"/>
          <w:b/>
          <w:bCs/>
          <w:color w:val="000000" w:themeColor="text1"/>
          <w:sz w:val="36"/>
          <w:szCs w:val="36"/>
        </w:rPr>
      </w:pPr>
    </w:p>
    <w:p w:rsidR="000040E3" w:rsidRPr="000F502E" w:rsidRDefault="0018338D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</w:pPr>
      <w:r w:rsidRPr="000F502E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แนวทางการปฏิบัติงาน</w:t>
      </w:r>
    </w:p>
    <w:p w:rsidR="0039701A" w:rsidRPr="000F502E" w:rsidRDefault="000040E3" w:rsidP="0039701A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39701A" w:rsidRPr="000F502E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การให้บริการเกี่ยวกับแผนจัดสรรการลงทุน</w:t>
      </w:r>
      <w:r w:rsidR="0039701A"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 (</w:t>
      </w:r>
      <w:r w:rsidR="0039701A"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Portfolio Advisory</w:t>
      </w:r>
      <w:r w:rsidR="0039701A"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) </w:t>
      </w:r>
    </w:p>
    <w:p w:rsidR="000025E8" w:rsidRPr="000F502E" w:rsidRDefault="00B47F62" w:rsidP="0039701A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0F502E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หรือ</w:t>
      </w:r>
      <w:r w:rsidR="0039701A" w:rsidRPr="000F502E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กลยุทธ์การลงทุน </w:t>
      </w:r>
      <w:r w:rsidR="0039701A"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(</w:t>
      </w:r>
      <w:r w:rsidR="0039701A"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Program Trading</w:t>
      </w:r>
      <w:r w:rsidR="0039701A" w:rsidRPr="000F502E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) </w:t>
      </w:r>
    </w:p>
    <w:p w:rsidR="00B956D4" w:rsidRPr="000F502E" w:rsidRDefault="00B956D4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  <w:t>---------------------------------------------------------</w:t>
      </w:r>
    </w:p>
    <w:p w:rsidR="00B956D4" w:rsidRPr="000F502E" w:rsidRDefault="00B956D4" w:rsidP="003762C7">
      <w:pPr>
        <w:ind w:right="-64"/>
        <w:jc w:val="center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</w:p>
    <w:p w:rsidR="00031F50" w:rsidRPr="000F502E" w:rsidRDefault="00F9197D" w:rsidP="00965D91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เพื่อเป็นการยกระดับการบริการ</w:t>
      </w:r>
      <w:r w:rsidR="00DF106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ด้าน</w:t>
      </w:r>
      <w:r w:rsidR="0009314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ซื้อขาย</w:t>
      </w:r>
      <w:r w:rsidR="00DF106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หลักทรัพย์</w:t>
      </w:r>
      <w:r w:rsidR="00921451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171AF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เพื่อตอบสนองความต้องการของ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นักลงทุน</w:t>
      </w:r>
      <w:r w:rsidR="00171AF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ที่ต้องการผลิตภัณฑ์ในตลาดทุนที่หลากหลาย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ได้</w:t>
      </w:r>
      <w:r w:rsidR="000411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รับ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ผลตอบแทนที่ดีขึ้น</w:t>
      </w:r>
      <w:r w:rsidR="0009314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ตามสภาวะการลงทุน</w:t>
      </w:r>
      <w:r w:rsidR="00DF106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บนพื้นฐาน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การบริหารความเสี่ยงที่ดี</w:t>
      </w:r>
      <w:r w:rsidR="00965D91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และเหมาะสม </w:t>
      </w:r>
      <w:r w:rsidR="00DF106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</w:t>
      </w:r>
      <w:r w:rsidR="0062478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เพื่อให้การบริการซื้อขายผลิตภัณฑ์ในตลาดทุน</w:t>
      </w:r>
      <w:r w:rsidR="00EC7267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มีแนวทางในการปฏิบัติงาน</w:t>
      </w:r>
      <w:r w:rsidR="00EC6E8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ตามประกาศสำนักงานคณะกรรมการกำกับหลักทรัพย์และตลาดหลักทรัพย์</w:t>
      </w:r>
      <w:r w:rsidR="00EC6E8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EC6E8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</w:t>
      </w:r>
      <w:r w:rsidR="00EC6E8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EC6E8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สธ</w:t>
      </w:r>
      <w:r w:rsidR="00EC6E8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.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 33</w:t>
      </w:r>
      <w:r w:rsidR="00EC6E8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/25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</w:rPr>
        <w:t>62</w:t>
      </w:r>
      <w:r w:rsidR="00EC6E8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EC6E8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เรื่อง</w:t>
      </w:r>
      <w:r w:rsidR="00EC6E8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EC6E8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ลักเกณฑ์ในรายละเอียดเกี่ยวกับการติดต่อและให้บริการลูกค้าสำหรับผู้ประกอบธุรกิจหลักทรัพย์และผู้ประกอบธุรกิจสัญญาซื้อขายล่วงหน้า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B47F6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(ฉบับที่ 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</w:rPr>
        <w:t>6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731E3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มีมาตรฐานเป็นที่ยอมรับ</w:t>
      </w:r>
      <w:r w:rsidR="000411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1A1C0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สามารถตอบ</w:t>
      </w:r>
      <w:r w:rsidR="0062478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สนองความต้องการของลูกค้าที่มีความประสงค์</w:t>
      </w:r>
      <w:r w:rsidR="00EC726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ให้</w:t>
      </w:r>
      <w:r w:rsidR="0062478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ผู้</w:t>
      </w:r>
      <w:r w:rsidR="00EC726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</w:t>
      </w:r>
      <w:r w:rsidR="0062478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มีความรู้และความเชี่ยวชาญมาช่วยดูแล</w:t>
      </w:r>
      <w:r w:rsidR="001A63F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ตัดสินใจ</w:t>
      </w:r>
      <w:r w:rsidR="00EC726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ล</w:t>
      </w:r>
      <w:r w:rsidR="0062478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งทุน</w:t>
      </w:r>
      <w:r w:rsidR="000411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ได้</w:t>
      </w:r>
      <w:r w:rsidR="001A1C0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อย่างเหมาะสม</w:t>
      </w:r>
      <w:r w:rsidR="00EC726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รวมทั้งเพื่อ</w:t>
      </w:r>
      <w:r w:rsidR="001A1C0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ป้องกันความเสี่ยงในการให้บริการสำหรับบริษัทหลักทรัพย์</w:t>
      </w:r>
    </w:p>
    <w:p w:rsidR="00CA2B09" w:rsidRPr="000F502E" w:rsidRDefault="00AB6D66" w:rsidP="00A708BD">
      <w:pPr>
        <w:spacing w:before="120" w:after="120"/>
        <w:ind w:right="-62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sz w:val="30"/>
          <w:szCs w:val="30"/>
          <w:cs/>
        </w:rPr>
        <w:t>อาศัยอำนาจตาม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ประกาศคณะกรรมการกำกับตลาดทุน ที่ ทธ. </w:t>
      </w:r>
      <w:r w:rsidRPr="000F502E">
        <w:rPr>
          <w:rFonts w:ascii="DilleniaUPC" w:hAnsi="DilleniaUPC" w:cs="DilleniaUPC"/>
          <w:sz w:val="30"/>
          <w:szCs w:val="30"/>
        </w:rPr>
        <w:t>35</w:t>
      </w:r>
      <w:r w:rsidRPr="000F502E">
        <w:rPr>
          <w:rFonts w:ascii="DilleniaUPC" w:hAnsi="DilleniaUPC" w:cs="DilleniaUPC"/>
          <w:sz w:val="30"/>
          <w:szCs w:val="30"/>
          <w:cs/>
        </w:rPr>
        <w:t>/</w:t>
      </w:r>
      <w:r w:rsidRPr="000F502E">
        <w:rPr>
          <w:rFonts w:ascii="DilleniaUPC" w:hAnsi="DilleniaUPC" w:cs="DilleniaUPC"/>
          <w:sz w:val="30"/>
          <w:szCs w:val="30"/>
        </w:rPr>
        <w:t xml:space="preserve">2556 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เรื่อง มาตรฐานการประกอบธุรกิจ โครงสร้างการบริหารงาน ระบบงาน </w:t>
      </w:r>
      <w:r w:rsidRPr="000F502E">
        <w:rPr>
          <w:rFonts w:ascii="DilleniaUPC" w:hAnsi="DilleniaUPC" w:cs="DilleniaUPC" w:hint="cs"/>
          <w:sz w:val="30"/>
          <w:szCs w:val="30"/>
          <w:cs/>
        </w:rPr>
        <w:t xml:space="preserve">และการให้บริการของผู้ประกอบธุรกิจหลักทรัพย์และผู้ประกอบธุรกิจสัญญาซื้อขายล่วงหน้า ข้อ </w:t>
      </w:r>
      <w:r w:rsidRPr="000F502E">
        <w:rPr>
          <w:rFonts w:ascii="DilleniaUPC" w:hAnsi="DilleniaUPC" w:cs="DilleniaUPC"/>
          <w:sz w:val="30"/>
          <w:szCs w:val="30"/>
        </w:rPr>
        <w:t>9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โดยความเห็นชอบ</w:t>
      </w:r>
      <w:r w:rsidRPr="000F502E">
        <w:rPr>
          <w:rFonts w:ascii="DilleniaUPC" w:hAnsi="DilleniaUPC" w:cs="DilleniaUPC" w:hint="cs"/>
          <w:sz w:val="30"/>
          <w:szCs w:val="30"/>
          <w:cs/>
        </w:rPr>
        <w:t>จากสำนักงานคณะกรรมการกำกับหลักทรัพย์และตลาดหลักทรัพย์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สมาคมบริษัทหลักทรัพย์ไทย </w:t>
      </w:r>
      <w:r w:rsidR="00CA2B09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จึงกำหนด</w:t>
      </w:r>
      <w:r w:rsidR="0018338D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แนวทางการปฏิบัติงาน</w:t>
      </w:r>
      <w:r w:rsidR="00CA2B09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เรื่อง </w:t>
      </w:r>
      <w:r w:rsidR="000403D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การให้บริการเกี่ยวกับแผนจัดสรรการลงทุน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</w:rPr>
        <w:t>Portfolio Advisory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110DF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</w:t>
      </w:r>
      <w:r w:rsidR="000403D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กลยุทธ์การลงทุน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</w:rPr>
        <w:t>Program Trading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CA2B09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เพื่อให้สมาชิกถือปฏิบัติ</w:t>
      </w:r>
      <w:r w:rsidR="008A4BC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เพิ่มเติม</w:t>
      </w:r>
      <w:r w:rsidR="00611AD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CA2B09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ดังนี้</w:t>
      </w:r>
    </w:p>
    <w:p w:rsidR="000E1230" w:rsidRPr="000F502E" w:rsidRDefault="00907684" w:rsidP="00A708BD">
      <w:pPr>
        <w:tabs>
          <w:tab w:val="left" w:pos="1276"/>
        </w:tabs>
        <w:spacing w:before="120" w:after="120"/>
        <w:ind w:right="-62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1</w:t>
      </w:r>
      <w:r w:rsidR="0049174F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0E123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</w:t>
      </w:r>
      <w:r w:rsidR="0018338D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แนวทางการปฏิบัติงาน</w:t>
      </w:r>
      <w:r w:rsidR="000E123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นี้</w:t>
      </w:r>
    </w:p>
    <w:p w:rsidR="00061618" w:rsidRPr="000F502E" w:rsidRDefault="00061618" w:rsidP="000E1230">
      <w:pPr>
        <w:ind w:left="709" w:right="-64" w:firstLine="11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“</w:t>
      </w:r>
      <w:r w:rsidRPr="000F502E">
        <w:rPr>
          <w:rFonts w:ascii="DilleniaUPC" w:hAnsi="DilleniaUPC" w:cs="DilleniaUPC" w:hint="cs"/>
          <w:color w:val="000000" w:themeColor="text1"/>
          <w:spacing w:val="-4"/>
          <w:sz w:val="30"/>
          <w:szCs w:val="30"/>
          <w:cs/>
        </w:rPr>
        <w:t>สำนักงาน ก.ล.ต.” หมายความว่า สำนักงานคณะกรรมการกำกับหลักทรัพย์และตลาดหลักทรัพย์</w:t>
      </w:r>
    </w:p>
    <w:p w:rsidR="000E1230" w:rsidRPr="000F502E" w:rsidRDefault="000E1230" w:rsidP="000E1230">
      <w:pPr>
        <w:ind w:left="709" w:right="-64" w:firstLine="11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สมาคม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”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หมายความว่า สมาคมบริษัทหลักทรัพย์ไทย</w:t>
      </w:r>
    </w:p>
    <w:p w:rsidR="000C547E" w:rsidRPr="000F502E" w:rsidRDefault="00087310" w:rsidP="000E1230">
      <w:pPr>
        <w:ind w:left="709" w:right="-64" w:firstLine="11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“</w:t>
      </w:r>
      <w:r w:rsidR="000C547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="000C547E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” </w:t>
      </w:r>
      <w:r w:rsidR="000C547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BF6813" w:rsidRPr="000F502E" w:rsidRDefault="00CA2B09" w:rsidP="00611AD6">
      <w:pPr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“ลูกค้า” หมายความว่า ผู้ใช้บริการ</w:t>
      </w:r>
      <w:r w:rsidR="0019109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ของสมาชิก</w:t>
      </w:r>
      <w:r w:rsidR="00216F2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เพื่อลงทุนในผลิตภัณฑ์ในตลาดทุน</w:t>
      </w:r>
      <w:r w:rsidR="0019109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</w:p>
    <w:p w:rsidR="00624783" w:rsidRPr="000F502E" w:rsidRDefault="00624783" w:rsidP="00611AD6">
      <w:pPr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  <w:lang w:val="en-GB"/>
        </w:rPr>
      </w:pP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ผลิตภัณฑ์ในตลาดทุน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”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หมายความว่า </w:t>
      </w:r>
      <w:r w:rsidR="000F502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หลักทรัพย์และสัญญาซื้อขายล่วงหน้า ทั้งนี้</w:t>
      </w:r>
      <w:r w:rsidR="00133E0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2C44B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ภาย</w:t>
      </w:r>
      <w:r w:rsidR="007B381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ใต้ใบอนุญาต</w:t>
      </w:r>
      <w:r w:rsidR="00965D91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133E0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การประกอบธุรกิจหลักทรัพย์หรือธุรกิจสัญญาซื้อขายล่วงหน้า</w:t>
      </w:r>
      <w:r w:rsidR="00216F2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ที่สมาชิกได้รับ</w:t>
      </w:r>
      <w:r w:rsidR="005B560B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</w:p>
    <w:p w:rsidR="005C773E" w:rsidRPr="000F502E" w:rsidRDefault="005C773E" w:rsidP="00B47F62">
      <w:pPr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บริการ</w:t>
      </w:r>
      <w:r w:rsidR="000403D7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”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หมายความว่า การให้บริการ</w:t>
      </w:r>
      <w:r w:rsidR="00B47F6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เกี่ยวกับแผนจัดสรรการลงทุน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</w:rPr>
        <w:t>Portfolio Advisory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B47F6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หรือกลยุทธ์</w:t>
      </w:r>
      <w:r w:rsidR="00133E01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B47F6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การลงทุน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</w:rPr>
        <w:t>Program Trading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:rsidR="00C1315A" w:rsidRPr="000F502E" w:rsidRDefault="005B560B" w:rsidP="00A82066">
      <w:pPr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นอกเหนือจากคำที่บัญญัติไว้ข้างต้น ให้คำที่ปรากฏในแนวทางการปฏิบัติงานฉบับนี้มีความหมายเป็นไปตามนิยามที่กำหนดไว้ใน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ประกาศสำนักงานคณะกรรมการกำกับหลักทรัพย์และตลาดหลักทรัพย์ ที่ สธ.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</w:rPr>
        <w:t>33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/25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</w:rPr>
        <w:t>62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965D91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เรื่อง หลักเกณฑ์ในรายละเอียดเกี่ยวกับการติดต่อและให้บริการลูกค้าสำหรับผู้ประกอบธุรกิจหลักทรัพย์และผู้ประกอบธุรกิจสัญญาซื้อขายล่วงหน้า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B47F6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(ฉบับที่ 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</w:rPr>
        <w:t>6</w:t>
      </w:r>
      <w:r w:rsidR="00B47F6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:rsidR="003E2CC0" w:rsidRPr="000F502E" w:rsidRDefault="003E2CC0" w:rsidP="00A708BD">
      <w:pPr>
        <w:tabs>
          <w:tab w:val="left" w:pos="1276"/>
        </w:tabs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lastRenderedPageBreak/>
        <w:t xml:space="preserve">ข้อ </w:t>
      </w:r>
      <w:r w:rsidRPr="000F502E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Pr="000F502E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F7091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สมาชิกต้องจัดทำ</w:t>
      </w:r>
      <w:r w:rsidR="00CC1506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โครงร่าง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การให้บริการ</w:t>
      </w:r>
      <w:r w:rsid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(</w:t>
      </w:r>
      <w:r w:rsidR="0033045F">
        <w:rPr>
          <w:rFonts w:ascii="DilleniaUPC" w:hAnsi="DilleniaUPC" w:cs="DilleniaUPC"/>
          <w:color w:val="000000" w:themeColor="text1"/>
          <w:sz w:val="30"/>
          <w:szCs w:val="30"/>
        </w:rPr>
        <w:t>S</w:t>
      </w:r>
      <w:r w:rsidR="00882B72">
        <w:rPr>
          <w:rFonts w:ascii="DilleniaUPC" w:hAnsi="DilleniaUPC" w:cs="DilleniaUPC"/>
          <w:color w:val="000000" w:themeColor="text1"/>
          <w:sz w:val="30"/>
          <w:szCs w:val="30"/>
        </w:rPr>
        <w:t xml:space="preserve">ervice </w:t>
      </w:r>
      <w:r w:rsidR="0033045F">
        <w:rPr>
          <w:rFonts w:ascii="DilleniaUPC" w:hAnsi="DilleniaUPC" w:cs="DilleniaUPC"/>
          <w:color w:val="000000" w:themeColor="text1"/>
          <w:sz w:val="30"/>
          <w:szCs w:val="30"/>
        </w:rPr>
        <w:t>Model</w:t>
      </w:r>
      <w:r w:rsid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) </w:t>
      </w:r>
      <w:r w:rsidR="00A1709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ซึ่ง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ได้รับความเห็นชอบจากคณะกรรมการ</w:t>
      </w:r>
      <w:r w:rsidR="00F7091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บริษัท</w:t>
      </w:r>
      <w:r w:rsid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หรือคณะกรรมการที่ได้รับมอบหมายจากคณะกรรมการบริษัท</w:t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A17096" w:rsidRPr="00965D91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โดย</w:t>
      </w:r>
      <w:r w:rsidRPr="00965D91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มีผู้บริหาร</w:t>
      </w:r>
      <w:r w:rsidR="008F5F0E" w:rsidRPr="00965D91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ระดับสูงที่ได้รับมอบหมายจากคณะกรรมการของบริษัท</w:t>
      </w:r>
      <w:r w:rsidRPr="00965D91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เป็นผู้รับผิดชอบ</w:t>
      </w:r>
    </w:p>
    <w:p w:rsidR="00232683" w:rsidRPr="000F502E" w:rsidRDefault="003E2CC0" w:rsidP="00A708BD">
      <w:pPr>
        <w:tabs>
          <w:tab w:val="left" w:pos="1276"/>
        </w:tabs>
        <w:spacing w:before="120" w:after="120"/>
        <w:ind w:right="-62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Pr="000F502E"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Pr="000F502E">
        <w:rPr>
          <w:rFonts w:ascii="DilleniaUPC" w:hAnsi="DilleniaUPC" w:cs="DilleniaUPC"/>
          <w:color w:val="000000" w:themeColor="text1"/>
          <w:sz w:val="30"/>
          <w:szCs w:val="30"/>
        </w:rPr>
        <w:tab/>
      </w:r>
      <w:r w:rsidR="002326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สมาชิกต้องจัดให้มีข้อตกลงการให้บริการกับลูกค้า</w:t>
      </w:r>
      <w:r w:rsidR="0023268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2326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ซึ่งอย่างน้อยประกอบด้วย </w:t>
      </w:r>
    </w:p>
    <w:p w:rsidR="001E2369" w:rsidRPr="000F502E" w:rsidRDefault="00232683" w:rsidP="00232683">
      <w:pPr>
        <w:pStyle w:val="ListParagraph"/>
        <w:numPr>
          <w:ilvl w:val="0"/>
          <w:numId w:val="11"/>
        </w:numPr>
        <w:tabs>
          <w:tab w:val="left" w:pos="1276"/>
        </w:tabs>
        <w:ind w:left="1701" w:right="-64" w:hanging="425"/>
        <w:jc w:val="thaiDistribute"/>
        <w:rPr>
          <w:rFonts w:ascii="DilleniaUPC" w:hAnsi="DilleniaUPC" w:cs="DilleniaUPC"/>
          <w:sz w:val="30"/>
          <w:szCs w:val="30"/>
        </w:rPr>
      </w:pPr>
      <w:r w:rsidRPr="000F502E">
        <w:rPr>
          <w:rFonts w:ascii="DilleniaUPC" w:hAnsi="DilleniaUPC" w:cs="DilleniaUPC" w:hint="cs"/>
          <w:sz w:val="30"/>
          <w:szCs w:val="30"/>
          <w:cs/>
        </w:rPr>
        <w:t>ข้อตกลงหลัก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232683" w:rsidRPr="000F502E" w:rsidRDefault="0082197E" w:rsidP="001E2369">
      <w:pPr>
        <w:pStyle w:val="ListParagraph"/>
        <w:numPr>
          <w:ilvl w:val="0"/>
          <w:numId w:val="15"/>
        </w:numPr>
        <w:tabs>
          <w:tab w:val="left" w:pos="1276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0F502E">
        <w:rPr>
          <w:rFonts w:ascii="DilleniaUPC" w:hAnsi="DilleniaUPC" w:cs="DilleniaUPC" w:hint="cs"/>
          <w:sz w:val="30"/>
          <w:szCs w:val="30"/>
          <w:cs/>
        </w:rPr>
        <w:t>มีสาระสำคัญ</w:t>
      </w:r>
      <w:r w:rsidR="001E2369" w:rsidRPr="000F502E">
        <w:rPr>
          <w:rFonts w:ascii="DilleniaUPC" w:hAnsi="DilleniaUPC" w:cs="DilleniaUPC" w:hint="cs"/>
          <w:sz w:val="30"/>
          <w:szCs w:val="30"/>
          <w:cs/>
        </w:rPr>
        <w:t>เป็นไป</w:t>
      </w:r>
      <w:r w:rsidRPr="000F502E">
        <w:rPr>
          <w:rFonts w:ascii="DilleniaUPC" w:hAnsi="DilleniaUPC" w:cs="DilleniaUPC" w:hint="cs"/>
          <w:sz w:val="30"/>
          <w:szCs w:val="30"/>
          <w:cs/>
        </w:rPr>
        <w:t>ตามประกาศสำนักงาน</w:t>
      </w:r>
      <w:r w:rsidR="00C82C35" w:rsidRPr="000F502E">
        <w:rPr>
          <w:rFonts w:ascii="DilleniaUPC" w:hAnsi="DilleniaUPC" w:cs="DilleniaUPC" w:hint="cs"/>
          <w:sz w:val="30"/>
          <w:szCs w:val="30"/>
          <w:cs/>
        </w:rPr>
        <w:t xml:space="preserve"> ก.ล.ต. ที่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sz w:val="30"/>
          <w:szCs w:val="30"/>
          <w:cs/>
        </w:rPr>
        <w:t>สธ</w:t>
      </w:r>
      <w:r w:rsidRPr="000F502E">
        <w:rPr>
          <w:rFonts w:ascii="DilleniaUPC" w:hAnsi="DilleniaUPC" w:cs="DilleniaUPC"/>
          <w:sz w:val="30"/>
          <w:szCs w:val="30"/>
          <w:cs/>
        </w:rPr>
        <w:t>.</w:t>
      </w:r>
      <w:r w:rsidRPr="000F502E">
        <w:rPr>
          <w:rFonts w:ascii="DilleniaUPC" w:hAnsi="DilleniaUPC" w:cs="DilleniaUPC"/>
          <w:sz w:val="30"/>
          <w:szCs w:val="30"/>
        </w:rPr>
        <w:t xml:space="preserve"> 33</w:t>
      </w:r>
      <w:r w:rsidRPr="000F502E">
        <w:rPr>
          <w:rFonts w:ascii="DilleniaUPC" w:hAnsi="DilleniaUPC" w:cs="DilleniaUPC"/>
          <w:sz w:val="30"/>
          <w:szCs w:val="30"/>
          <w:cs/>
        </w:rPr>
        <w:t>/25</w:t>
      </w:r>
      <w:r w:rsidRPr="000F502E">
        <w:rPr>
          <w:rFonts w:ascii="DilleniaUPC" w:hAnsi="DilleniaUPC" w:cs="DilleniaUPC"/>
          <w:sz w:val="30"/>
          <w:szCs w:val="30"/>
        </w:rPr>
        <w:t>62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sz w:val="30"/>
          <w:szCs w:val="30"/>
          <w:cs/>
        </w:rPr>
        <w:t>เรื่อง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sz w:val="30"/>
          <w:szCs w:val="30"/>
          <w:cs/>
        </w:rPr>
        <w:t>หลักเกณฑ์</w:t>
      </w:r>
      <w:r w:rsidR="00713894" w:rsidRPr="000F502E">
        <w:rPr>
          <w:rFonts w:ascii="DilleniaUPC" w:hAnsi="DilleniaUPC" w:cs="DilleniaUPC"/>
          <w:sz w:val="30"/>
          <w:szCs w:val="30"/>
          <w:cs/>
        </w:rPr>
        <w:br/>
      </w:r>
      <w:r w:rsidRPr="000F502E">
        <w:rPr>
          <w:rFonts w:ascii="DilleniaUPC" w:hAnsi="DilleniaUPC" w:cs="DilleniaUPC" w:hint="cs"/>
          <w:sz w:val="30"/>
          <w:szCs w:val="30"/>
          <w:cs/>
        </w:rPr>
        <w:t>ในรายละเอียดเกี่ยวกับการติดต่อและให้บริการลูกค้าสำหรับผู้ประกอบธุรกิจหลักทรัพย์</w:t>
      </w:r>
      <w:r w:rsidR="005E0433">
        <w:rPr>
          <w:rFonts w:ascii="DilleniaUPC" w:hAnsi="DilleniaUPC" w:cs="DilleniaUPC"/>
          <w:sz w:val="30"/>
          <w:szCs w:val="30"/>
          <w:cs/>
        </w:rPr>
        <w:br/>
      </w:r>
      <w:r w:rsidRPr="000F502E">
        <w:rPr>
          <w:rFonts w:ascii="DilleniaUPC" w:hAnsi="DilleniaUPC" w:cs="DilleniaUPC" w:hint="cs"/>
          <w:sz w:val="30"/>
          <w:szCs w:val="30"/>
          <w:cs/>
        </w:rPr>
        <w:t>และผู้ประกอบธุรกิจสัญญาซื้อขายล่วงหน้า</w:t>
      </w:r>
      <w:r w:rsidRPr="000F502E">
        <w:rPr>
          <w:rFonts w:ascii="DilleniaUPC" w:hAnsi="DilleniaUPC" w:cs="DilleniaUPC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sz w:val="30"/>
          <w:szCs w:val="30"/>
          <w:cs/>
        </w:rPr>
        <w:t xml:space="preserve">(ฉบับที่ </w:t>
      </w:r>
      <w:r w:rsidRPr="000F502E">
        <w:rPr>
          <w:rFonts w:ascii="DilleniaUPC" w:hAnsi="DilleniaUPC" w:cs="DilleniaUPC"/>
          <w:sz w:val="30"/>
          <w:szCs w:val="30"/>
        </w:rPr>
        <w:t>6</w:t>
      </w:r>
      <w:r w:rsidRPr="000F502E">
        <w:rPr>
          <w:rFonts w:ascii="DilleniaUPC" w:hAnsi="DilleniaUPC" w:cs="DilleniaUPC"/>
          <w:sz w:val="30"/>
          <w:szCs w:val="30"/>
          <w:cs/>
        </w:rPr>
        <w:t>)</w:t>
      </w:r>
      <w:r w:rsidR="00C82C35" w:rsidRPr="000F502E">
        <w:rPr>
          <w:rFonts w:ascii="DilleniaUPC" w:hAnsi="DilleniaUPC" w:cs="DilleniaUPC" w:hint="cs"/>
          <w:sz w:val="30"/>
          <w:szCs w:val="30"/>
          <w:cs/>
        </w:rPr>
        <w:t xml:space="preserve"> ได้แก่</w:t>
      </w:r>
    </w:p>
    <w:p w:rsidR="0082197E" w:rsidRPr="000F502E" w:rsidRDefault="0082197E" w:rsidP="00962296">
      <w:pPr>
        <w:pStyle w:val="ListParagraph"/>
        <w:numPr>
          <w:ilvl w:val="1"/>
          <w:numId w:val="16"/>
        </w:numPr>
        <w:tabs>
          <w:tab w:val="left" w:pos="1276"/>
        </w:tabs>
        <w:ind w:left="2410" w:right="-64" w:hanging="283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ขอบเขตและเงื่อนไขในการให้บริการ</w:t>
      </w:r>
      <w:r w:rsidR="00F94BE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</w:p>
    <w:p w:rsidR="00F94BE4" w:rsidRPr="000F502E" w:rsidRDefault="00F12BC8" w:rsidP="00F94BE4">
      <w:pPr>
        <w:pStyle w:val="ListParagraph"/>
        <w:tabs>
          <w:tab w:val="left" w:pos="1276"/>
        </w:tabs>
        <w:ind w:left="2410" w:right="-64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ทั้งนี้ </w:t>
      </w:r>
      <w:r w:rsidR="00F94BE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เนื่องจากการให้บริการเกี่ยวกับ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 P</w:t>
      </w:r>
      <w:r w:rsidR="00F94BE4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ortfolio 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A</w:t>
      </w:r>
      <w:r w:rsidR="00F94BE4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dvisory </w:t>
      </w:r>
      <w:r w:rsidR="008F5F0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</w:t>
      </w:r>
      <w:r w:rsidR="008F5F0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P</w:t>
      </w:r>
      <w:r w:rsidR="00F94BE4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rogram 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T</w:t>
      </w:r>
      <w:r w:rsidR="00F94BE4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rading </w:t>
      </w:r>
      <w:r w:rsidR="00F94BE4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มีความ</w:t>
      </w:r>
      <w:r w:rsidR="00F94BE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แตกต่างจากการให้บริการซื้อขายในรูปแบบปกติ</w:t>
      </w:r>
      <w:r w:rsid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และเพื่อให้ลูกค้าเข้าใจ</w:t>
      </w:r>
      <w:r w:rsidR="00BC4AD3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ถึงลักษณะและรูปแบบการให้บริการ</w:t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AA111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="00F94BE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จึง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ควร</w:t>
      </w:r>
      <w:r w:rsidR="00F94BE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ระบุขอบเขตและเงื่อนไข</w:t>
      </w:r>
      <w:r w:rsidR="00882B72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F94BE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การให้บริการไว้ในข้อตกลงการให้บริการ</w:t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ชัดเจน เช่น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รายละเอียดเกี่ยวกับการให้บริการซื้อขายที่ชัดเจน</w:t>
      </w:r>
      <w:r w:rsidR="005E0433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ขั้นตอนการให้บริการก่อน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และหลัง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การซื้อขาย</w:t>
      </w:r>
      <w:r w:rsid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อาทิ</w:t>
      </w:r>
      <w:r w:rsidR="00882B72" w:rsidRPr="00882B7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การจัดให้ลูกค้ายืนยันรายชื่อผลิตภัณฑ์ในตลาดทุน</w:t>
      </w:r>
      <w:r w:rsidR="00882B72" w:rsidRPr="00882B7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882B72" w:rsidRP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การแจ้งข้อมูลก่อนดำเนินการซื้อขาย</w:t>
      </w:r>
      <w:r w:rsidR="00F2390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เป็นต้น</w:t>
      </w:r>
    </w:p>
    <w:p w:rsidR="0082197E" w:rsidRPr="000F502E" w:rsidRDefault="0082197E" w:rsidP="00962296">
      <w:pPr>
        <w:pStyle w:val="ListParagraph"/>
        <w:numPr>
          <w:ilvl w:val="1"/>
          <w:numId w:val="16"/>
        </w:numPr>
        <w:tabs>
          <w:tab w:val="left" w:pos="1276"/>
        </w:tabs>
        <w:ind w:left="2410" w:right="-64" w:hanging="283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สิทธิของลูกค้าในการใช้บริการ</w:t>
      </w:r>
      <w:r w:rsidR="00A363E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เช่น 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สิทธิของลูกค้าใน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เปลี่ยนแปลง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หรือยกเลิก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ซื้อขาย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ผลิตภัณฑ์ในตลาดทุน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หรือยกเลิกบริการ เป็นต้น</w:t>
      </w:r>
    </w:p>
    <w:p w:rsidR="00C82C35" w:rsidRPr="000F502E" w:rsidRDefault="0082197E" w:rsidP="00962296">
      <w:pPr>
        <w:pStyle w:val="ListParagraph"/>
        <w:numPr>
          <w:ilvl w:val="1"/>
          <w:numId w:val="16"/>
        </w:numPr>
        <w:tabs>
          <w:tab w:val="left" w:pos="1276"/>
        </w:tabs>
        <w:ind w:left="2410" w:right="-64" w:hanging="283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กำหนดขั้นตอนและวิธีดำเนินการส่งคำสั่งซื้อขาย</w:t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ผลิตภัณฑ์ในตลาดทุน</w:t>
      </w:r>
      <w:r w:rsidR="009570D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รวมถึงกรณี</w:t>
      </w:r>
      <w:r w:rsidR="005E0433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ที่เกิดเหตุสุดวิสัยหรือเหตุจำเป็นที่ไม่สามารถให้บริการได้</w:t>
      </w:r>
      <w:r w:rsidR="00D41C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เช่น การแจ้งข้อมูลเกี่ยวกับกรอบราคาและประมาณการสัดส่วนที่จะดำเนินการซื้อขายให้แก่ลูกค้าผ่านช่องทา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ง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การติดต่อ เช่น การแจ้งข้อมูลผ่านทาง</w:t>
      </w:r>
      <w:r w:rsidR="00D41C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A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pplication 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E</w:t>
      </w:r>
      <w:r w:rsidR="00D41C5C" w:rsidRPr="000F502E">
        <w:rPr>
          <w:rFonts w:ascii="DilleniaUPC" w:hAnsi="DilleniaUPC" w:cs="DilleniaUPC"/>
          <w:color w:val="000000" w:themeColor="text1"/>
          <w:sz w:val="30"/>
          <w:szCs w:val="30"/>
        </w:rPr>
        <w:t>mail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หรือโทรศัพท์เคลื่อนที่ผ่าน</w:t>
      </w:r>
      <w:r w:rsidR="00D41C5C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 SMS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เป็นต้น</w:t>
      </w:r>
      <w:r w:rsidR="00F12BC8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</w:p>
    <w:p w:rsidR="00A363E2" w:rsidRPr="000F502E" w:rsidRDefault="00232683" w:rsidP="00A9722F">
      <w:pPr>
        <w:pStyle w:val="ListParagraph"/>
        <w:numPr>
          <w:ilvl w:val="1"/>
          <w:numId w:val="16"/>
        </w:numPr>
        <w:tabs>
          <w:tab w:val="left" w:pos="1276"/>
        </w:tabs>
        <w:ind w:left="2410" w:right="-64" w:hanging="283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</w:t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งื่อนไขของการสับเปลี่ยนการลงทุน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(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F</w:t>
      </w:r>
      <w:r w:rsidR="00A363E2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und 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S</w:t>
      </w:r>
      <w:r w:rsidR="00A363E2" w:rsidRPr="000F502E">
        <w:rPr>
          <w:rFonts w:ascii="DilleniaUPC" w:hAnsi="DilleniaUPC" w:cs="DilleniaUPC"/>
          <w:color w:val="000000" w:themeColor="text1"/>
          <w:sz w:val="30"/>
          <w:szCs w:val="30"/>
        </w:rPr>
        <w:t>witching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)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ไปยังกองทุนรวมอื่นซึ่งมีนโยบายการลงทุนที่ใกล้เคียงกัน ในกรณีที่กองทุนรวมที่ได้ลงทุนไว้มีการเลิกกองทุนรวม ปิดรับคำสั่งซื้อขายหน่วยลงทุน หรือเหตุอื่นใดทำนองเดียวกัน (ถ้ามี)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เช่น</w:t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</w:t>
      </w:r>
      <w:r w:rsidR="00A9722F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รณี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ผลิตภัณฑ์ในตลาดทุนประเภท</w:t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หน่วยลงทุน 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ซึ่ง</w:t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รวมถึงกรมธรรม์ประกันชีวิตควบ</w:t>
      </w:r>
      <w:r w:rsidR="00921451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หน่วยลงทุน (</w:t>
      </w:r>
      <w:r w:rsidR="000F502E">
        <w:rPr>
          <w:rFonts w:ascii="DilleniaUPC" w:hAnsi="DilleniaUPC" w:cs="DilleniaUPC"/>
          <w:color w:val="000000" w:themeColor="text1"/>
          <w:sz w:val="30"/>
          <w:szCs w:val="30"/>
        </w:rPr>
        <w:t>U</w:t>
      </w:r>
      <w:r w:rsidR="00D5559C" w:rsidRPr="000F502E">
        <w:rPr>
          <w:rFonts w:ascii="DilleniaUPC" w:hAnsi="DilleniaUPC" w:cs="DilleniaUPC"/>
          <w:color w:val="000000" w:themeColor="text1"/>
          <w:sz w:val="30"/>
          <w:szCs w:val="30"/>
        </w:rPr>
        <w:t>nit</w:t>
      </w:r>
      <w:r w:rsidR="00D5559C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-</w:t>
      </w:r>
      <w:r w:rsidR="00D5559C" w:rsidRPr="000F502E">
        <w:rPr>
          <w:rFonts w:ascii="DilleniaUPC" w:hAnsi="DilleniaUPC" w:cs="DilleniaUPC"/>
          <w:color w:val="000000" w:themeColor="text1"/>
          <w:sz w:val="30"/>
          <w:szCs w:val="30"/>
        </w:rPr>
        <w:t>linked</w:t>
      </w:r>
      <w:r w:rsidR="00D5559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)</w:t>
      </w:r>
      <w:r w:rsidR="00D5559C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A111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อาจกำหนดเงื่อนไขดังกล่าวไว้ในข้อตกลงการให้บริการได้ โดย</w:t>
      </w:r>
      <w:r w:rsidR="00A363E2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“กองทุนรวมอื่นซึ่งมีนโยบายใกล้เคียงกัน”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</w:rPr>
        <w:t> </w:t>
      </w:r>
      <w:r w:rsidR="00F12BC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จะ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พิจารณาจากประเภทและนโยบายการลงทุนของกองทุนที่บริษัทหลักทรัพย์จัดการกองทุนระบุไว้ในหนังสือชี้ชวนเสนอขายหน่วยลงทุน </w:t>
      </w:r>
    </w:p>
    <w:p w:rsidR="00BB3C19" w:rsidRPr="00616925" w:rsidRDefault="00232683" w:rsidP="00616925">
      <w:pPr>
        <w:pStyle w:val="ListParagraph"/>
        <w:numPr>
          <w:ilvl w:val="0"/>
          <w:numId w:val="15"/>
        </w:numPr>
        <w:tabs>
          <w:tab w:val="left" w:pos="1276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0F502E">
        <w:rPr>
          <w:rFonts w:ascii="DilleniaUPC" w:hAnsi="DilleniaUPC" w:cs="DilleniaUPC" w:hint="cs"/>
          <w:sz w:val="30"/>
          <w:szCs w:val="30"/>
          <w:cs/>
        </w:rPr>
        <w:t>ความรับผิด</w:t>
      </w:r>
      <w:r w:rsidR="00D62A62" w:rsidRPr="000F502E">
        <w:rPr>
          <w:rFonts w:ascii="DilleniaUPC" w:hAnsi="DilleniaUPC" w:cs="DilleniaUPC" w:hint="cs"/>
          <w:sz w:val="30"/>
          <w:szCs w:val="30"/>
          <w:cs/>
        </w:rPr>
        <w:t>ชอบ</w:t>
      </w:r>
      <w:r w:rsidR="009570D3" w:rsidRPr="000F502E">
        <w:rPr>
          <w:rFonts w:ascii="DilleniaUPC" w:hAnsi="DilleniaUPC" w:cs="DilleniaUPC" w:hint="cs"/>
          <w:sz w:val="30"/>
          <w:szCs w:val="30"/>
          <w:cs/>
        </w:rPr>
        <w:t>ของสมาชิก</w:t>
      </w:r>
      <w:r w:rsidR="007851DD" w:rsidRPr="000F502E">
        <w:rPr>
          <w:rFonts w:ascii="DilleniaUPC" w:hAnsi="DilleniaUPC" w:cs="DilleniaUPC" w:hint="cs"/>
          <w:sz w:val="30"/>
          <w:szCs w:val="30"/>
          <w:cs/>
        </w:rPr>
        <w:t>อันเกิดจากการใช้บริการ</w:t>
      </w:r>
      <w:r w:rsidR="009570D3" w:rsidRPr="000F502E">
        <w:rPr>
          <w:rFonts w:ascii="DilleniaUPC" w:hAnsi="DilleniaUPC" w:cs="DilleniaUPC" w:hint="cs"/>
          <w:sz w:val="30"/>
          <w:szCs w:val="30"/>
          <w:cs/>
        </w:rPr>
        <w:t>ของ</w:t>
      </w:r>
      <w:r w:rsidR="007851DD" w:rsidRPr="000F502E">
        <w:rPr>
          <w:rFonts w:ascii="DilleniaUPC" w:hAnsi="DilleniaUPC" w:cs="DilleniaUPC" w:hint="cs"/>
          <w:sz w:val="30"/>
          <w:szCs w:val="30"/>
          <w:cs/>
        </w:rPr>
        <w:t>ลูกค้า</w:t>
      </w:r>
    </w:p>
    <w:p w:rsidR="00965D91" w:rsidRDefault="00965D91">
      <w:pPr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hAnsi="DilleniaUPC" w:cs="DilleniaUPC"/>
          <w:sz w:val="30"/>
          <w:szCs w:val="30"/>
          <w:cs/>
        </w:rPr>
        <w:br w:type="page"/>
      </w:r>
    </w:p>
    <w:p w:rsidR="00232683" w:rsidRPr="000F502E" w:rsidRDefault="00232683" w:rsidP="00232683">
      <w:pPr>
        <w:pStyle w:val="ListParagraph"/>
        <w:numPr>
          <w:ilvl w:val="0"/>
          <w:numId w:val="11"/>
        </w:numPr>
        <w:tabs>
          <w:tab w:val="left" w:pos="1710"/>
        </w:tabs>
        <w:ind w:left="1710" w:right="-64" w:hanging="641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lastRenderedPageBreak/>
        <w:t>ข้อตกลงแนบท้าย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</w:p>
    <w:p w:rsidR="00A62915" w:rsidRPr="000F502E" w:rsidRDefault="00232683" w:rsidP="00232683">
      <w:pPr>
        <w:numPr>
          <w:ilvl w:val="1"/>
          <w:numId w:val="6"/>
        </w:numPr>
        <w:ind w:left="2127" w:right="-64" w:hanging="426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แนวทางการลงทุน 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Pr="000F502E">
        <w:rPr>
          <w:rFonts w:ascii="DilleniaUPC" w:hAnsi="DilleniaUPC" w:cs="DilleniaUPC"/>
          <w:color w:val="000000" w:themeColor="text1"/>
          <w:sz w:val="30"/>
          <w:szCs w:val="30"/>
        </w:rPr>
        <w:t>House View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</w:t>
      </w:r>
      <w:r w:rsidR="008F5F0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ที่มาของแนวทางการลงทุน</w:t>
      </w:r>
      <w:r w:rsidR="00A6291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</w:p>
    <w:p w:rsidR="00232683" w:rsidRPr="00935C7E" w:rsidRDefault="00AA1110" w:rsidP="00935C7E">
      <w:pPr>
        <w:ind w:left="2127" w:right="-64"/>
        <w:jc w:val="thaiDistribute"/>
        <w:rPr>
          <w:rFonts w:ascii="DilleniaUPC" w:eastAsia="Calibri" w:hAnsi="DilleniaUPC" w:cs="DilleniaUPC"/>
          <w:color w:val="000000" w:themeColor="text1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สมาชิก</w:t>
      </w:r>
      <w:r w:rsidR="00A62915" w:rsidRPr="000F502E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ต้องจัดให้มีรายละเอียดเกี่ยวกับ</w:t>
      </w:r>
      <w:r w:rsidR="002D259E" w:rsidRPr="000F502E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รูปแบบ</w:t>
      </w:r>
      <w:r w:rsidR="00A62915" w:rsidRPr="000F502E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แผนจัดสรรการลงทุน</w:t>
      </w:r>
      <w:r w:rsidR="00A6291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6291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</w:t>
      </w:r>
      <w:r w:rsidR="007D66BA">
        <w:rPr>
          <w:rFonts w:ascii="DilleniaUPC" w:hAnsi="DilleniaUPC" w:cs="DilleniaUPC"/>
          <w:color w:val="000000" w:themeColor="text1"/>
          <w:sz w:val="30"/>
          <w:szCs w:val="30"/>
        </w:rPr>
        <w:t xml:space="preserve"> </w:t>
      </w:r>
      <w:r w:rsidR="00A6291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กลยุทธ์การลงทุน</w:t>
      </w:r>
      <w:r w:rsidR="00A877D8" w:rsidRPr="000F502E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ที่ลูกค้าเลือก</w:t>
      </w:r>
      <w:r w:rsidR="00882B72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C7207A" w:rsidRPr="000F502E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แล้วแต่กรณี</w:t>
      </w:r>
      <w:r w:rsidR="00C7207A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  <w:r w:rsidR="00882B72" w:rsidRPr="00882B72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พร้อมทั้งคำอธิบายเกี่ยวกับที่มาของแผนจัดสรรการลงทุนหรือกลยุทธ์การลงทุนดังกล่าว</w:t>
      </w:r>
      <w:r w:rsidR="00FA10B1" w:rsidRPr="000F502E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>แนบท้ายข้อตกลงการให้บริการด้วย</w:t>
      </w:r>
      <w:r w:rsidR="00882B72">
        <w:rPr>
          <w:rFonts w:ascii="DilleniaUPC" w:eastAsia="Calibri" w:hAnsi="DilleniaUPC" w:cs="DilleniaUPC" w:hint="cs"/>
          <w:color w:val="000000" w:themeColor="text1"/>
          <w:sz w:val="30"/>
          <w:szCs w:val="30"/>
          <w:cs/>
          <w:lang w:eastAsia="en-US"/>
        </w:rPr>
        <w:t xml:space="preserve"> </w:t>
      </w:r>
    </w:p>
    <w:p w:rsidR="00232683" w:rsidRPr="00935C7E" w:rsidRDefault="00232683" w:rsidP="000728E0">
      <w:pPr>
        <w:numPr>
          <w:ilvl w:val="1"/>
          <w:numId w:val="6"/>
        </w:numPr>
        <w:ind w:right="-64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ความเสี่ยง</w:t>
      </w:r>
      <w:r w:rsidR="00BB3C19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และการบริหารความเสี่ยง</w:t>
      </w:r>
      <w:r w:rsidR="00882B7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ที่เ</w:t>
      </w:r>
      <w:r w:rsidR="00935C7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หมาะสมกับรูปแบบการให้บริการ เช่น </w:t>
      </w:r>
      <w:r w:rsidR="00935C7E" w:rsidRPr="00935C7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การหยุด</w:t>
      </w:r>
      <w:r w:rsidR="007D66BA">
        <w:rPr>
          <w:rFonts w:ascii="DilleniaUPC" w:hAnsi="DilleniaUPC" w:cs="DilleniaUPC"/>
          <w:color w:val="000000" w:themeColor="text1"/>
          <w:sz w:val="30"/>
          <w:szCs w:val="30"/>
        </w:rPr>
        <w:br/>
      </w:r>
      <w:r w:rsidR="00935C7E" w:rsidRPr="00935C7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การขาดทุนด้วยวิธีการ</w:t>
      </w:r>
      <w:r w:rsidR="00935C7E" w:rsidRPr="00935C7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935C7E" w:rsidRPr="00935C7E">
        <w:rPr>
          <w:rFonts w:ascii="DilleniaUPC" w:hAnsi="DilleniaUPC" w:cs="DilleniaUPC"/>
          <w:color w:val="000000" w:themeColor="text1"/>
          <w:sz w:val="30"/>
          <w:szCs w:val="30"/>
        </w:rPr>
        <w:t>Cut Loss</w:t>
      </w:r>
      <w:r w:rsidR="00935C7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935C7E" w:rsidRPr="00935C7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</w:t>
      </w:r>
      <w:r w:rsidR="00935C7E" w:rsidRPr="00935C7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935C7E" w:rsidRPr="00935C7E">
        <w:rPr>
          <w:rFonts w:ascii="DilleniaUPC" w:hAnsi="DilleniaUPC" w:cs="DilleniaUPC"/>
          <w:color w:val="000000" w:themeColor="text1"/>
          <w:sz w:val="30"/>
          <w:szCs w:val="30"/>
        </w:rPr>
        <w:t>Stop Loss</w:t>
      </w:r>
      <w:r w:rsidR="00BB3C19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935C7E" w:rsidRPr="00935C7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เป็นต้น</w:t>
      </w:r>
      <w:r w:rsidR="008F5F0E" w:rsidRPr="00935C7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</w:p>
    <w:p w:rsidR="00B24739" w:rsidRPr="000F502E" w:rsidRDefault="00232683" w:rsidP="000728E0">
      <w:pPr>
        <w:numPr>
          <w:ilvl w:val="1"/>
          <w:numId w:val="6"/>
        </w:numPr>
        <w:ind w:left="2127" w:right="-64" w:hanging="426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รูปแบบการให้บริการ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เช่น การให้บริการแบบอิเล็กทรอนิกส์</w:t>
      </w:r>
      <w:r w:rsidR="006E5D6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06161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โทรศัพท์ หรือ</w:t>
      </w:r>
      <w:r w:rsidR="00D41C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ช่องทาง</w:t>
      </w:r>
      <w:r w:rsidR="0006161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อื่นใด</w:t>
      </w:r>
    </w:p>
    <w:p w:rsidR="00E6390D" w:rsidRPr="00965D91" w:rsidRDefault="00D5115F" w:rsidP="00A708BD">
      <w:pPr>
        <w:numPr>
          <w:ilvl w:val="1"/>
          <w:numId w:val="6"/>
        </w:numPr>
        <w:ind w:left="2127" w:right="-64" w:hanging="426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ตัวชี้วัดการดำเนินงาน </w:t>
      </w:r>
      <w:r w:rsidR="00232683" w:rsidRPr="000F502E">
        <w:rPr>
          <w:rFonts w:ascii="DilleniaUPC" w:hAnsi="DilleniaUPC" w:cs="DilleniaUPC" w:hint="cs"/>
          <w:color w:val="000000" w:themeColor="text1"/>
          <w:spacing w:val="-2"/>
          <w:sz w:val="30"/>
          <w:szCs w:val="30"/>
          <w:cs/>
        </w:rPr>
        <w:t>(</w:t>
      </w:r>
      <w:r w:rsidR="00232683" w:rsidRPr="000F502E">
        <w:rPr>
          <w:rFonts w:ascii="DilleniaUPC" w:hAnsi="DilleniaUPC" w:cs="DilleniaUPC"/>
          <w:color w:val="000000" w:themeColor="text1"/>
          <w:spacing w:val="-2"/>
          <w:sz w:val="30"/>
          <w:szCs w:val="30"/>
        </w:rPr>
        <w:t>Benchmark</w:t>
      </w:r>
      <w:r w:rsidR="00232683" w:rsidRPr="000F502E">
        <w:rPr>
          <w:rFonts w:ascii="DilleniaUPC" w:hAnsi="DilleniaUPC" w:cs="DilleniaUPC"/>
          <w:color w:val="000000" w:themeColor="text1"/>
          <w:spacing w:val="-2"/>
          <w:sz w:val="30"/>
          <w:szCs w:val="30"/>
          <w:cs/>
        </w:rPr>
        <w:t>)</w:t>
      </w:r>
      <w:r w:rsidR="006E5D63" w:rsidRPr="000F502E">
        <w:rPr>
          <w:rFonts w:ascii="DilleniaUPC" w:hAnsi="DilleniaUPC" w:cs="DilleniaUPC" w:hint="cs"/>
          <w:color w:val="000000" w:themeColor="text1"/>
          <w:spacing w:val="-2"/>
          <w:sz w:val="30"/>
          <w:szCs w:val="30"/>
          <w:cs/>
        </w:rPr>
        <w:t xml:space="preserve"> </w:t>
      </w:r>
      <w:r w:rsidR="006220EB" w:rsidRPr="000F502E">
        <w:rPr>
          <w:rFonts w:ascii="DilleniaUPC" w:hAnsi="DilleniaUPC" w:cs="DilleniaUPC" w:hint="cs"/>
          <w:color w:val="000000" w:themeColor="text1"/>
          <w:spacing w:val="-2"/>
          <w:sz w:val="30"/>
          <w:szCs w:val="30"/>
          <w:cs/>
        </w:rPr>
        <w:t>ที่ส</w:t>
      </w:r>
      <w:r w:rsidR="006220EB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อดคล้องกับ </w:t>
      </w:r>
      <w:r w:rsidR="00BC4AD3">
        <w:rPr>
          <w:rFonts w:ascii="DilleniaUPC" w:hAnsi="DilleniaUPC" w:cs="DilleniaUPC"/>
          <w:color w:val="000000" w:themeColor="text1"/>
          <w:sz w:val="30"/>
          <w:szCs w:val="30"/>
        </w:rPr>
        <w:t>P</w:t>
      </w:r>
      <w:r w:rsidR="006220EB" w:rsidRPr="000F502E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 xml:space="preserve">ortfolio </w:t>
      </w:r>
      <w:r w:rsidR="00BC4AD3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A</w:t>
      </w:r>
      <w:r w:rsidR="006220EB" w:rsidRPr="000F502E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 xml:space="preserve">dvisory </w:t>
      </w:r>
      <w:r w:rsidR="006220EB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หรือ </w:t>
      </w:r>
      <w:r w:rsidR="00BC4AD3">
        <w:rPr>
          <w:rFonts w:ascii="DilleniaUPC" w:hAnsi="DilleniaUPC" w:cs="DilleniaUPC"/>
          <w:color w:val="000000" w:themeColor="text1"/>
          <w:sz w:val="30"/>
          <w:szCs w:val="30"/>
        </w:rPr>
        <w:t>P</w:t>
      </w:r>
      <w:r w:rsidR="006220EB" w:rsidRPr="000F502E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 xml:space="preserve">rogram </w:t>
      </w:r>
      <w:r w:rsidR="00BC4AD3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T</w:t>
      </w:r>
      <w:r w:rsidR="006220EB" w:rsidRPr="000F502E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 xml:space="preserve">rading </w:t>
      </w:r>
      <w:r w:rsidR="006220EB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และ</w:t>
      </w:r>
      <w:r w:rsidR="00061618" w:rsidRPr="000F502E">
        <w:rPr>
          <w:rFonts w:ascii="DilleniaUPC" w:hAnsi="DilleniaUPC" w:cs="DilleniaUPC" w:hint="cs"/>
          <w:color w:val="000000" w:themeColor="text1"/>
          <w:spacing w:val="-2"/>
          <w:sz w:val="30"/>
          <w:szCs w:val="30"/>
          <w:cs/>
        </w:rPr>
        <w:t>ให้เป็นไปตามหลักเกณฑ์ที่สำนักงาน ก.ล.ต. กำหนด</w:t>
      </w:r>
    </w:p>
    <w:p w:rsidR="002C44B0" w:rsidRPr="000F502E" w:rsidRDefault="004044BB" w:rsidP="00A708BD">
      <w:pPr>
        <w:tabs>
          <w:tab w:val="left" w:pos="1276"/>
        </w:tabs>
        <w:spacing w:before="120" w:after="120"/>
        <w:ind w:right="-62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="00E6390D" w:rsidRPr="000F502E">
        <w:rPr>
          <w:rFonts w:ascii="DilleniaUPC" w:hAnsi="DilleniaUPC" w:cs="DilleniaUPC"/>
          <w:color w:val="000000" w:themeColor="text1"/>
          <w:sz w:val="30"/>
          <w:szCs w:val="30"/>
        </w:rPr>
        <w:t>4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</w:t>
      </w:r>
      <w:r w:rsidR="00AC58D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ชิกต้องจัดให้มีบุคลากรซึ่งได้รับ</w:t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ใบอนุญาต</w:t>
      </w:r>
      <w:r w:rsidR="00AC58D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เป็นไป</w:t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ตาม</w:t>
      </w:r>
      <w:r w:rsidR="00AC58D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ประเภท</w:t>
      </w:r>
      <w:r w:rsidR="005D3EA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ของ</w:t>
      </w:r>
      <w:r w:rsidR="00AC58D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หลักทรัพย์</w:t>
      </w:r>
      <w:r w:rsidR="00A363E2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หรือสัญญาซื้อขายล่วงหน้า</w:t>
      </w:r>
      <w:r w:rsidR="005D3EA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ที่ให้บริการ </w:t>
      </w:r>
      <w:r w:rsidR="0061692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ปฏิบัติหน้าที่ให้บริการเกี่ยวกับแผนจัดสรรการลงทุน</w:t>
      </w:r>
      <w:r w:rsidR="0061692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616925" w:rsidRPr="000F502E">
        <w:rPr>
          <w:rFonts w:ascii="DilleniaUPC" w:hAnsi="DilleniaUPC" w:cs="DilleniaUPC"/>
          <w:color w:val="000000" w:themeColor="text1"/>
          <w:sz w:val="30"/>
          <w:szCs w:val="30"/>
        </w:rPr>
        <w:t>Portfolio Advisory</w:t>
      </w:r>
      <w:r w:rsidR="0061692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61692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หรือกลยุทธ์การลงทุน</w:t>
      </w:r>
      <w:r w:rsidR="0061692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616925" w:rsidRPr="000F502E">
        <w:rPr>
          <w:rFonts w:ascii="DilleniaUPC" w:hAnsi="DilleniaUPC" w:cs="DilleniaUPC"/>
          <w:color w:val="000000" w:themeColor="text1"/>
          <w:sz w:val="30"/>
          <w:szCs w:val="30"/>
        </w:rPr>
        <w:t>Program Trading</w:t>
      </w:r>
      <w:r w:rsidR="00616925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:rsidR="00232683" w:rsidRPr="000F502E" w:rsidRDefault="00F95EA5" w:rsidP="00A708BD">
      <w:pPr>
        <w:tabs>
          <w:tab w:val="left" w:pos="1276"/>
        </w:tabs>
        <w:spacing w:before="120" w:after="120"/>
        <w:ind w:right="-62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="00E6390D" w:rsidRPr="000F502E">
        <w:rPr>
          <w:rFonts w:ascii="DilleniaUPC" w:hAnsi="DilleniaUPC" w:cs="DilleniaUPC"/>
          <w:color w:val="000000" w:themeColor="text1"/>
          <w:sz w:val="30"/>
          <w:szCs w:val="30"/>
        </w:rPr>
        <w:t>5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ab/>
      </w:r>
      <w:r w:rsidR="002326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สมาชิกต้องจัดให้มีกระบ</w:t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วนการ</w:t>
      </w:r>
      <w:r w:rsidR="0024456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และ</w:t>
      </w:r>
      <w:r w:rsidR="00C82C35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การดำเนินการ ดังต่อไปนี้ </w:t>
      </w:r>
    </w:p>
    <w:p w:rsidR="00232683" w:rsidRPr="000F502E" w:rsidRDefault="00232683" w:rsidP="00232683">
      <w:pPr>
        <w:pStyle w:val="ListParagraph"/>
        <w:numPr>
          <w:ilvl w:val="0"/>
          <w:numId w:val="14"/>
        </w:numPr>
        <w:tabs>
          <w:tab w:val="left" w:pos="1276"/>
        </w:tabs>
        <w:ind w:left="1701" w:right="-64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จัดให้มีกระบวนการแจ้งให้ลูกค้ารับทราบหรือให้ลูกค้าติดตามผลการลงทุนได้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เช่น</w:t>
      </w:r>
      <w:r w:rsidR="0024456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การจัดทำ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รายงาน</w:t>
      </w:r>
      <w:r w:rsidR="00244560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Monthly Statement </w:t>
      </w:r>
      <w:r w:rsidR="00F2390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เป็นต้น</w:t>
      </w:r>
    </w:p>
    <w:p w:rsidR="003B6AFE" w:rsidRPr="000F502E" w:rsidRDefault="008D5935" w:rsidP="003B6AFE">
      <w:pPr>
        <w:pStyle w:val="ListParagraph"/>
        <w:numPr>
          <w:ilvl w:val="0"/>
          <w:numId w:val="14"/>
        </w:numPr>
        <w:tabs>
          <w:tab w:val="left" w:pos="1276"/>
        </w:tabs>
        <w:ind w:left="1701" w:right="-64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กรณีที่การลงทุนเกิดความคลาดเคลื่อนไปจากที่ตกลงกัน</w:t>
      </w:r>
      <w:r w:rsidR="00F2480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หรือปัจจัยที่</w:t>
      </w:r>
      <w:r w:rsidR="00D12F9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มีผลต่อ</w:t>
      </w:r>
      <w:r w:rsidR="00F2480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การลงทุนเปลี่ยนแปลงอย่างมีนัยสำคัญ</w:t>
      </w:r>
      <w:r w:rsidR="00F2390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รวมถึงกรณีที่ผลประเมินความเสี่ยงของลูกค้ามีการเปลี่ยนแปลง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="0027726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ต้อง</w:t>
      </w:r>
      <w:r w:rsidR="002326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จัดให้มีกระบวนการหารือกับลูกค้า </w:t>
      </w:r>
      <w:r w:rsidR="00C16DD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เพื่อ</w:t>
      </w:r>
      <w:r w:rsidR="00232683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ปรับปรุงแนวทางการลงทุน</w:t>
      </w:r>
      <w:r w:rsidR="0027726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โดยนำเสนอข้อมูลดังกล่าวให้ลูกค้าตัดสินใจ</w:t>
      </w:r>
    </w:p>
    <w:p w:rsidR="0066785F" w:rsidRPr="00A708BD" w:rsidRDefault="00232683" w:rsidP="00A708BD">
      <w:pPr>
        <w:pStyle w:val="ListParagraph"/>
        <w:numPr>
          <w:ilvl w:val="0"/>
          <w:numId w:val="14"/>
        </w:numPr>
        <w:tabs>
          <w:tab w:val="left" w:pos="1276"/>
        </w:tabs>
        <w:ind w:left="1701" w:right="-64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กรณีที่</w:t>
      </w:r>
      <w:r w:rsidR="001D48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สมาชิก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ให้ข้อมูลอื่นใดที่</w:t>
      </w:r>
      <w:r w:rsidR="00133E01" w:rsidRPr="000F502E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>อาจ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มีผลต่อการตัดสินใจใช้บริการ</w:t>
      </w:r>
      <w:r w:rsidR="001D48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ของลูกค้า</w:t>
      </w:r>
      <w:r w:rsidR="00133E0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 </w:t>
      </w:r>
      <w:r w:rsidR="001A74E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ข้อมูลดังกล่าว</w:t>
      </w:r>
      <w:r w:rsidR="00BC4AD3">
        <w:rPr>
          <w:rFonts w:ascii="DilleniaUPC" w:hAnsi="DilleniaUPC" w:cs="DilleniaUPC"/>
          <w:color w:val="000000" w:themeColor="text1"/>
          <w:sz w:val="30"/>
          <w:szCs w:val="30"/>
          <w:cs/>
          <w:lang w:val="en-GB"/>
        </w:rPr>
        <w:br/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ต้องเหมาะสม ถูกต้อง </w:t>
      </w:r>
      <w:r w:rsidR="001A74E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ครบถ้วน 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และเป็นปัจจุบัน </w:t>
      </w:r>
      <w:r w:rsidR="0093070D" w:rsidRPr="000F502E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>และ</w:t>
      </w:r>
      <w:r w:rsidRPr="000F502E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>ลูกค้า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สามารถเข้าใจไ</w:t>
      </w:r>
      <w:r w:rsidR="001D48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ด้อย่างถูกต้อง</w:t>
      </w:r>
      <w:r w:rsidR="00BC4AD3">
        <w:rPr>
          <w:rFonts w:ascii="DilleniaUPC" w:hAnsi="DilleniaUPC" w:cs="DilleniaUPC"/>
          <w:color w:val="000000" w:themeColor="text1"/>
          <w:sz w:val="30"/>
          <w:szCs w:val="30"/>
          <w:cs/>
          <w:lang w:val="en-GB"/>
        </w:rPr>
        <w:br/>
      </w:r>
      <w:r w:rsidR="001D48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โดยไม่สำคัญผิด เช่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น ผล</w:t>
      </w:r>
      <w:r w:rsidR="001A74E8" w:rsidRPr="000F502E">
        <w:rPr>
          <w:rFonts w:ascii="DilleniaUPC" w:eastAsia="Batang" w:hAnsi="DilleniaUPC" w:cs="DilleniaUPC" w:hint="cs"/>
          <w:color w:val="000000" w:themeColor="text1"/>
          <w:sz w:val="30"/>
          <w:szCs w:val="30"/>
          <w:cs/>
          <w:lang w:eastAsia="ko-KR"/>
        </w:rPr>
        <w:t>การ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ทดสอบ</w:t>
      </w:r>
      <w:r w:rsidR="001A74E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ผลการลงทุนย้อนหลัง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 </w:t>
      </w:r>
      <w:r w:rsidR="001A74E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(</w:t>
      </w:r>
      <w:r w:rsidR="001A74E8" w:rsidRPr="000F502E">
        <w:rPr>
          <w:rFonts w:ascii="DilleniaUPC" w:hAnsi="DilleniaUPC" w:cs="DilleniaUPC"/>
          <w:color w:val="000000" w:themeColor="text1"/>
          <w:sz w:val="30"/>
          <w:szCs w:val="30"/>
        </w:rPr>
        <w:t xml:space="preserve">Model </w:t>
      </w:r>
      <w:r w:rsidR="008D5935" w:rsidRPr="000F502E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Back T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esting</w:t>
      </w:r>
      <w:r w:rsidR="001A74E8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)</w:t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  <w:lang w:val="en-GB"/>
        </w:rPr>
        <w:t xml:space="preserve"> </w:t>
      </w:r>
      <w:r w:rsidR="001D485C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>ที่ระบุช่วงระยะเวลาในการทดสอบที่ชัดเจน</w:t>
      </w:r>
      <w:r w:rsidR="0027726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  <w:lang w:val="en-GB"/>
        </w:rPr>
        <w:t xml:space="preserve"> เป็นต้น</w:t>
      </w:r>
    </w:p>
    <w:p w:rsidR="003626F4" w:rsidRPr="000F502E" w:rsidRDefault="00423356" w:rsidP="00A708BD">
      <w:pPr>
        <w:tabs>
          <w:tab w:val="left" w:pos="1276"/>
        </w:tabs>
        <w:spacing w:before="120" w:after="120"/>
        <w:ind w:right="-62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="00EB071D" w:rsidRPr="000F502E">
        <w:rPr>
          <w:rFonts w:ascii="DilleniaUPC" w:hAnsi="DilleniaUPC" w:cs="DilleniaUPC"/>
          <w:color w:val="000000" w:themeColor="text1"/>
          <w:sz w:val="30"/>
          <w:szCs w:val="30"/>
        </w:rPr>
        <w:t>6</w:t>
      </w:r>
      <w:r w:rsidR="00945FC1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สมาชิกอาจกำหนด</w:t>
      </w:r>
      <w:r w:rsidR="00945FC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ค่าธรรมเนียม</w:t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การให้บริการแผนจัดสรรการลงทุน</w:t>
      </w:r>
      <w:r w:rsidR="003626F4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3626F4" w:rsidRPr="000F502E">
        <w:rPr>
          <w:rFonts w:ascii="DilleniaUPC" w:hAnsi="DilleniaUPC" w:cs="DilleniaUPC"/>
          <w:color w:val="000000" w:themeColor="text1"/>
          <w:sz w:val="30"/>
          <w:szCs w:val="30"/>
        </w:rPr>
        <w:t>Portfolio Advisory</w:t>
      </w:r>
      <w:r w:rsidR="003626F4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หรือกลยุทธ์การลงทุน</w:t>
      </w:r>
      <w:r w:rsidR="003626F4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3626F4" w:rsidRPr="000F502E">
        <w:rPr>
          <w:rFonts w:ascii="DilleniaUPC" w:hAnsi="DilleniaUPC" w:cs="DilleniaUPC"/>
          <w:color w:val="000000" w:themeColor="text1"/>
          <w:sz w:val="30"/>
          <w:szCs w:val="30"/>
        </w:rPr>
        <w:t>Program Trading</w:t>
      </w:r>
      <w:r w:rsidR="003626F4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3626F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ได้ตามหลักเกณฑ์ของสมาชิก </w:t>
      </w:r>
      <w:r w:rsidR="0032593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อาทิ ค่าธรรมเนียมรายผลิตภัณฑ์ ค่าธรรมเนียมตามมูลค่าทรัพย์สินสุทธิ </w:t>
      </w:r>
      <w:r w:rsidR="004D177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หรือ</w:t>
      </w:r>
      <w:r w:rsidR="0032593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ค่าธรรมเนียมตามความสำเร็จของผลงาน</w:t>
      </w:r>
      <w:r w:rsidR="004D1774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เป็นต้น</w:t>
      </w:r>
      <w:r w:rsidR="003B6AFE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7851DD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โดยต้องมีการแจ้งให้ลูกค้าทราบ</w:t>
      </w:r>
      <w:r w:rsidR="00DF551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ถึงค่าธรรมเนียมดังกล่า</w:t>
      </w:r>
      <w:r w:rsidR="00CC766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ว</w:t>
      </w:r>
      <w:r w:rsidR="00DF5516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ก่อน</w:t>
      </w:r>
      <w:r w:rsidR="00F2390A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มีการ</w:t>
      </w:r>
      <w:r w:rsidR="00CC7661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เริ่มให้บริการด้วย</w:t>
      </w:r>
    </w:p>
    <w:p w:rsidR="00676D67" w:rsidRPr="000F502E" w:rsidRDefault="00FF7606" w:rsidP="00A708BD">
      <w:pPr>
        <w:tabs>
          <w:tab w:val="left" w:pos="1276"/>
        </w:tabs>
        <w:spacing w:before="120" w:after="120"/>
        <w:ind w:right="-62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แนวทางการปฏิบัติงานนี้มีผลบังคับตั้งแต่วันที่ </w:t>
      </w:r>
      <w:r w:rsidR="007D66BA">
        <w:rPr>
          <w:rFonts w:ascii="DilleniaUPC" w:hAnsi="DilleniaUPC" w:cs="DilleniaUPC"/>
          <w:color w:val="000000" w:themeColor="text1"/>
          <w:sz w:val="30"/>
          <w:szCs w:val="30"/>
        </w:rPr>
        <w:t>25</w:t>
      </w:r>
      <w:r w:rsidR="00D1774D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7D66BA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พฤศจิกายน</w:t>
      </w:r>
      <w:r w:rsidR="00D1774D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7D66BA">
        <w:rPr>
          <w:rFonts w:ascii="DilleniaUPC" w:hAnsi="DilleniaUPC" w:cs="DilleniaUPC"/>
          <w:color w:val="000000" w:themeColor="text1"/>
          <w:sz w:val="30"/>
          <w:szCs w:val="30"/>
        </w:rPr>
        <w:t>256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เป็นต้นไป</w:t>
      </w:r>
    </w:p>
    <w:p w:rsidR="0043568F" w:rsidRPr="000F502E" w:rsidRDefault="0043568F" w:rsidP="003762C7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</w:p>
    <w:p w:rsidR="00D677F0" w:rsidRPr="000F502E" w:rsidRDefault="00D677F0" w:rsidP="003762C7">
      <w:pPr>
        <w:pStyle w:val="BodyText"/>
        <w:tabs>
          <w:tab w:val="left" w:pos="567"/>
          <w:tab w:val="center" w:pos="5812"/>
        </w:tabs>
        <w:spacing w:after="0"/>
        <w:ind w:right="-64"/>
        <w:rPr>
          <w:rFonts w:ascii="DilleniaUPC" w:hAnsi="DilleniaUPC" w:cs="DilleniaUPC"/>
          <w:color w:val="000000" w:themeColor="text1"/>
          <w:sz w:val="30"/>
          <w:szCs w:val="30"/>
        </w:rPr>
      </w:pP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4B6DC3"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>ประกาศ ณ วันที่</w:t>
      </w:r>
      <w:r w:rsidR="003D0CCB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7D66BA">
        <w:rPr>
          <w:rFonts w:ascii="DilleniaUPC" w:hAnsi="DilleniaUPC" w:cs="DilleniaUPC"/>
          <w:color w:val="000000" w:themeColor="text1"/>
          <w:sz w:val="30"/>
          <w:szCs w:val="30"/>
        </w:rPr>
        <w:t>18</w:t>
      </w:r>
      <w:r w:rsidR="00E42650" w:rsidRPr="000F502E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7D66BA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พฤศจิกายน </w:t>
      </w:r>
      <w:r w:rsidR="007D66BA">
        <w:rPr>
          <w:rFonts w:ascii="DilleniaUPC" w:hAnsi="DilleniaUPC" w:cs="DilleniaUPC"/>
          <w:color w:val="000000" w:themeColor="text1"/>
          <w:sz w:val="30"/>
          <w:szCs w:val="30"/>
        </w:rPr>
        <w:t>256</w:t>
      </w:r>
      <w:r w:rsidR="000403D7" w:rsidRPr="000F502E">
        <w:rPr>
          <w:rFonts w:ascii="DilleniaUPC" w:hAnsi="DilleniaUPC" w:cs="DilleniaUPC"/>
          <w:color w:val="000000" w:themeColor="text1"/>
          <w:sz w:val="30"/>
          <w:szCs w:val="30"/>
        </w:rPr>
        <w:t>2</w:t>
      </w:r>
    </w:p>
    <w:p w:rsidR="0043568F" w:rsidRPr="000F502E" w:rsidRDefault="0043568F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color w:val="000000" w:themeColor="text1"/>
          <w:sz w:val="30"/>
          <w:szCs w:val="30"/>
          <w:lang w:eastAsia="ja-JP"/>
        </w:rPr>
      </w:pPr>
    </w:p>
    <w:p w:rsidR="00061618" w:rsidRPr="000F502E" w:rsidRDefault="00061618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</w:pPr>
    </w:p>
    <w:p w:rsidR="007D66BA" w:rsidRPr="004F0294" w:rsidRDefault="00D677F0" w:rsidP="007D66BA">
      <w:pPr>
        <w:tabs>
          <w:tab w:val="center" w:pos="5760"/>
        </w:tabs>
        <w:ind w:firstLine="720"/>
        <w:rPr>
          <w:rFonts w:ascii="DilleniaUPC" w:hAnsi="DilleniaUPC" w:cs="DilleniaUPC"/>
          <w:sz w:val="30"/>
          <w:szCs w:val="30"/>
        </w:rPr>
      </w:pPr>
      <w:r w:rsidRPr="000F502E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7D66BA" w:rsidRPr="004F0294">
        <w:rPr>
          <w:rFonts w:ascii="DilleniaUPC" w:hAnsi="DilleniaUPC" w:cs="DilleniaUPC"/>
          <w:sz w:val="30"/>
          <w:szCs w:val="30"/>
          <w:cs/>
        </w:rPr>
        <w:t>(นายพิเชษฐ สิทธิอำนวย)</w:t>
      </w:r>
    </w:p>
    <w:p w:rsidR="00423356" w:rsidRPr="003B6AFE" w:rsidRDefault="007D66BA" w:rsidP="007D66BA">
      <w:pPr>
        <w:tabs>
          <w:tab w:val="center" w:pos="5812"/>
        </w:tabs>
        <w:ind w:right="-64"/>
        <w:jc w:val="both"/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</w:pPr>
      <w:r w:rsidRPr="004F0294">
        <w:rPr>
          <w:rFonts w:ascii="DilleniaUPC" w:hAnsi="DilleniaUPC" w:cs="DilleniaUPC"/>
          <w:sz w:val="30"/>
          <w:szCs w:val="30"/>
          <w:cs/>
        </w:rPr>
        <w:tab/>
        <w:t>นายกสมาคม</w:t>
      </w:r>
    </w:p>
    <w:sectPr w:rsidR="00423356" w:rsidRPr="003B6AFE" w:rsidSect="003B6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74" w:bottom="1134" w:left="1797" w:header="624" w:footer="646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51" w:rsidRDefault="00627551" w:rsidP="00A87D06">
      <w:r>
        <w:separator/>
      </w:r>
    </w:p>
  </w:endnote>
  <w:endnote w:type="continuationSeparator" w:id="0">
    <w:p w:rsidR="00627551" w:rsidRDefault="00627551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3" w:rsidRDefault="00A70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3" w:rsidRPr="00FF7606" w:rsidRDefault="00A70B33" w:rsidP="00B24739">
    <w:pPr>
      <w:pStyle w:val="Footer"/>
      <w:tabs>
        <w:tab w:val="clear" w:pos="9026"/>
        <w:tab w:val="right" w:pos="8647"/>
      </w:tabs>
      <w:spacing w:line="300" w:lineRule="exact"/>
      <w:ind w:right="-11"/>
      <w:jc w:val="right"/>
      <w:rPr>
        <w:rFonts w:ascii="DilleniaUPC" w:hAnsi="DilleniaUPC" w:cs="DilleniaUPC"/>
        <w:sz w:val="28"/>
        <w:cs/>
      </w:rPr>
    </w:pPr>
    <w:r w:rsidRPr="000403D7">
      <w:rPr>
        <w:rFonts w:ascii="DilleniaUPC" w:hAnsi="DilleniaUPC" w:cs="DilleniaUPC" w:hint="cs"/>
        <w:sz w:val="28"/>
        <w:cs/>
      </w:rPr>
      <w:t>การให้บริการเกี่ยวกับแผนจัดสรรการลงทุน</w:t>
    </w:r>
    <w:r w:rsidRPr="000403D7">
      <w:rPr>
        <w:rFonts w:ascii="DilleniaUPC" w:hAnsi="DilleniaUPC" w:cs="DilleniaUPC"/>
        <w:sz w:val="28"/>
        <w:cs/>
      </w:rPr>
      <w:t xml:space="preserve"> (</w:t>
    </w:r>
    <w:r w:rsidRPr="000403D7">
      <w:rPr>
        <w:rFonts w:ascii="DilleniaUPC" w:hAnsi="DilleniaUPC" w:cs="DilleniaUPC"/>
        <w:sz w:val="28"/>
      </w:rPr>
      <w:t>Portfolio Advisory</w:t>
    </w:r>
    <w:r w:rsidRPr="000403D7">
      <w:rPr>
        <w:rFonts w:ascii="DilleniaUPC" w:hAnsi="DilleniaUPC" w:cs="DilleniaUPC"/>
        <w:sz w:val="28"/>
        <w:cs/>
      </w:rPr>
      <w:t xml:space="preserve">) </w:t>
    </w:r>
    <w:r>
      <w:rPr>
        <w:rFonts w:ascii="DilleniaUPC" w:hAnsi="DilleniaUPC" w:cs="DilleniaUPC" w:hint="cs"/>
        <w:sz w:val="28"/>
        <w:cs/>
      </w:rPr>
      <w:t>หรือ</w:t>
    </w:r>
    <w:r w:rsidRPr="000403D7">
      <w:rPr>
        <w:rFonts w:ascii="DilleniaUPC" w:hAnsi="DilleniaUPC" w:cs="DilleniaUPC" w:hint="cs"/>
        <w:sz w:val="28"/>
        <w:cs/>
      </w:rPr>
      <w:t>กลยุทธ์การลงทุน</w:t>
    </w:r>
    <w:r w:rsidRPr="000403D7">
      <w:rPr>
        <w:rFonts w:ascii="DilleniaUPC" w:hAnsi="DilleniaUPC" w:cs="DilleniaUPC"/>
        <w:sz w:val="28"/>
        <w:cs/>
      </w:rPr>
      <w:t xml:space="preserve"> (</w:t>
    </w:r>
    <w:r w:rsidRPr="000403D7">
      <w:rPr>
        <w:rFonts w:ascii="DilleniaUPC" w:hAnsi="DilleniaUPC" w:cs="DilleniaUPC"/>
        <w:sz w:val="28"/>
      </w:rPr>
      <w:t>Program Trading</w:t>
    </w:r>
    <w:r w:rsidRPr="000403D7">
      <w:rPr>
        <w:rFonts w:ascii="DilleniaUPC" w:hAnsi="DilleniaUPC" w:cs="DilleniaUPC"/>
        <w:sz w:val="28"/>
        <w:cs/>
      </w:rPr>
      <w:t>)</w:t>
    </w:r>
    <w:r w:rsidRPr="00FF7606">
      <w:rPr>
        <w:rFonts w:ascii="DilleniaUPC" w:hAnsi="DilleniaUPC" w:cs="DilleniaUPC" w:hint="cs"/>
        <w:sz w:val="28"/>
        <w:cs/>
      </w:rPr>
      <w:t xml:space="preserve"> </w:t>
    </w:r>
  </w:p>
  <w:p w:rsidR="00A70B33" w:rsidRDefault="00A70B33" w:rsidP="00B24739">
    <w:pPr>
      <w:pStyle w:val="Footer"/>
      <w:tabs>
        <w:tab w:val="clear" w:pos="9026"/>
        <w:tab w:val="right" w:pos="8789"/>
      </w:tabs>
      <w:spacing w:line="300" w:lineRule="exact"/>
      <w:ind w:right="-11"/>
      <w:jc w:val="right"/>
    </w:pPr>
    <w:r w:rsidRPr="00AF2F1F">
      <w:rPr>
        <w:rFonts w:ascii="DilleniaUPC" w:hAnsi="DilleniaUPC" w:cs="DilleniaUPC"/>
        <w:sz w:val="28"/>
        <w:cs/>
      </w:rPr>
      <w:t xml:space="preserve">หน้า </w:t>
    </w:r>
    <w:r w:rsidRPr="00AF2F1F">
      <w:rPr>
        <w:rFonts w:ascii="DilleniaUPC" w:hAnsi="DilleniaUPC" w:cs="DilleniaUPC"/>
        <w:sz w:val="28"/>
      </w:rPr>
      <w:fldChar w:fldCharType="begin"/>
    </w:r>
    <w:r w:rsidRPr="00AF2F1F">
      <w:rPr>
        <w:rFonts w:ascii="DilleniaUPC" w:hAnsi="DilleniaUPC" w:cs="DilleniaUPC"/>
        <w:sz w:val="28"/>
      </w:rPr>
      <w:instrText xml:space="preserve"> PAGE </w:instrText>
    </w:r>
    <w:r w:rsidRPr="00AF2F1F">
      <w:rPr>
        <w:rFonts w:ascii="DilleniaUPC" w:hAnsi="DilleniaUPC" w:cs="DilleniaUPC"/>
        <w:sz w:val="28"/>
      </w:rPr>
      <w:fldChar w:fldCharType="separate"/>
    </w:r>
    <w:r w:rsidR="008744D6">
      <w:rPr>
        <w:rFonts w:ascii="DilleniaUPC" w:hAnsi="DilleniaUPC" w:cs="DilleniaUPC"/>
        <w:noProof/>
        <w:sz w:val="28"/>
      </w:rPr>
      <w:t>3</w:t>
    </w:r>
    <w:r w:rsidRPr="00AF2F1F">
      <w:rPr>
        <w:rFonts w:ascii="DilleniaUPC" w:hAnsi="DilleniaUPC" w:cs="DilleniaUPC"/>
        <w:sz w:val="28"/>
      </w:rPr>
      <w:fldChar w:fldCharType="end"/>
    </w:r>
    <w:r w:rsidRPr="00AF2F1F">
      <w:rPr>
        <w:rFonts w:ascii="DilleniaUPC" w:hAnsi="DilleniaUPC" w:cs="DilleniaUPC"/>
        <w:sz w:val="28"/>
        <w:cs/>
      </w:rPr>
      <w:t xml:space="preserve"> / </w:t>
    </w:r>
    <w:r w:rsidRPr="00AF2F1F">
      <w:rPr>
        <w:rFonts w:ascii="DilleniaUPC" w:hAnsi="DilleniaUPC" w:cs="DilleniaUPC"/>
        <w:sz w:val="28"/>
      </w:rPr>
      <w:fldChar w:fldCharType="begin"/>
    </w:r>
    <w:r w:rsidRPr="00AF2F1F">
      <w:rPr>
        <w:rFonts w:ascii="DilleniaUPC" w:hAnsi="DilleniaUPC" w:cs="DilleniaUPC"/>
        <w:sz w:val="28"/>
      </w:rPr>
      <w:instrText xml:space="preserve"> NUMPAGES  </w:instrText>
    </w:r>
    <w:r w:rsidRPr="00AF2F1F">
      <w:rPr>
        <w:rFonts w:ascii="DilleniaUPC" w:hAnsi="DilleniaUPC" w:cs="DilleniaUPC"/>
        <w:sz w:val="28"/>
      </w:rPr>
      <w:fldChar w:fldCharType="separate"/>
    </w:r>
    <w:r w:rsidR="008744D6">
      <w:rPr>
        <w:rFonts w:ascii="DilleniaUPC" w:hAnsi="DilleniaUPC" w:cs="DilleniaUPC"/>
        <w:noProof/>
        <w:sz w:val="28"/>
      </w:rPr>
      <w:t>3</w:t>
    </w:r>
    <w:r w:rsidRPr="00AF2F1F">
      <w:rPr>
        <w:rFonts w:ascii="DilleniaUPC" w:hAnsi="DilleniaUPC" w:cs="DilleniaUPC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3" w:rsidRDefault="00A70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51" w:rsidRDefault="00627551" w:rsidP="00A87D06">
      <w:r>
        <w:separator/>
      </w:r>
    </w:p>
  </w:footnote>
  <w:footnote w:type="continuationSeparator" w:id="0">
    <w:p w:rsidR="00627551" w:rsidRDefault="00627551" w:rsidP="00A8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3" w:rsidRDefault="00A70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3" w:rsidRDefault="00A70B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33" w:rsidRDefault="00A70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0F0"/>
    <w:multiLevelType w:val="hybridMultilevel"/>
    <w:tmpl w:val="93B281A0"/>
    <w:lvl w:ilvl="0" w:tplc="0742CCBE">
      <w:start w:val="1"/>
      <w:numFmt w:val="decimal"/>
      <w:lvlText w:val="(%1)"/>
      <w:lvlJc w:val="left"/>
      <w:pPr>
        <w:ind w:left="1429" w:hanging="360"/>
      </w:pPr>
      <w:rPr>
        <w:rFonts w:ascii="DilleniaUPC" w:hAnsi="DilleniaUPC" w:cs="DilleniaUPC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2F2A"/>
    <w:multiLevelType w:val="hybridMultilevel"/>
    <w:tmpl w:val="604CB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78569C"/>
    <w:multiLevelType w:val="multilevel"/>
    <w:tmpl w:val="E85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F45116"/>
    <w:multiLevelType w:val="hybridMultilevel"/>
    <w:tmpl w:val="1DEE8B44"/>
    <w:lvl w:ilvl="0" w:tplc="2932ADD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7D3DA6"/>
    <w:multiLevelType w:val="multilevel"/>
    <w:tmpl w:val="1294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ascii="DilleniaUPC" w:eastAsia="Batang" w:hAnsi="DilleniaUPC" w:cs="DilleniaUPC"/>
      </w:rPr>
    </w:lvl>
    <w:lvl w:ilvl="2">
      <w:start w:val="1"/>
      <w:numFmt w:val="thaiLetters"/>
      <w:lvlText w:val="(%3)"/>
      <w:lvlJc w:val="left"/>
      <w:pPr>
        <w:ind w:left="1224" w:hanging="504"/>
      </w:pPr>
      <w:rPr>
        <w:rFonts w:ascii="DilleniaUPC" w:eastAsia="Batang" w:hAnsi="DilleniaUPC" w:cs="DilleniaUP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49D32C7"/>
    <w:multiLevelType w:val="hybridMultilevel"/>
    <w:tmpl w:val="93B281A0"/>
    <w:lvl w:ilvl="0" w:tplc="0742CCBE">
      <w:start w:val="1"/>
      <w:numFmt w:val="decimal"/>
      <w:lvlText w:val="(%1)"/>
      <w:lvlJc w:val="left"/>
      <w:pPr>
        <w:ind w:left="1429" w:hanging="360"/>
      </w:pPr>
      <w:rPr>
        <w:rFonts w:ascii="DilleniaUPC" w:hAnsi="DilleniaUPC" w:cs="DilleniaUPC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150E6D"/>
    <w:multiLevelType w:val="hybridMultilevel"/>
    <w:tmpl w:val="9E361740"/>
    <w:lvl w:ilvl="0" w:tplc="328481B0">
      <w:start w:val="1"/>
      <w:numFmt w:val="thaiLetters"/>
      <w:lvlText w:val="(%1)"/>
      <w:lvlJc w:val="left"/>
      <w:pPr>
        <w:ind w:left="206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B451040"/>
    <w:multiLevelType w:val="hybridMultilevel"/>
    <w:tmpl w:val="91280FAA"/>
    <w:lvl w:ilvl="0" w:tplc="0742CCBE">
      <w:start w:val="1"/>
      <w:numFmt w:val="decimal"/>
      <w:lvlText w:val="(%1)"/>
      <w:lvlJc w:val="left"/>
      <w:pPr>
        <w:ind w:left="1429" w:hanging="360"/>
      </w:pPr>
      <w:rPr>
        <w:rFonts w:ascii="DilleniaUPC" w:hAnsi="DilleniaUPC" w:cs="DilleniaUPC" w:hint="default"/>
        <w:sz w:val="30"/>
        <w:szCs w:val="30"/>
      </w:rPr>
    </w:lvl>
    <w:lvl w:ilvl="1" w:tplc="40184C38">
      <w:start w:val="1"/>
      <w:numFmt w:val="thaiLetters"/>
      <w:lvlText w:val="%2"/>
      <w:lvlJc w:val="left"/>
      <w:pPr>
        <w:ind w:left="2149" w:hanging="360"/>
      </w:pPr>
      <w:rPr>
        <w:rFonts w:ascii="DilleniaUPC" w:hAnsi="DilleniaUPC" w:cs="DilleniaUPC" w:hint="default"/>
        <w:sz w:val="30"/>
        <w:szCs w:val="30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792148"/>
    <w:multiLevelType w:val="hybridMultilevel"/>
    <w:tmpl w:val="77429208"/>
    <w:lvl w:ilvl="0" w:tplc="3D0EA71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9F46EC"/>
    <w:multiLevelType w:val="hybridMultilevel"/>
    <w:tmpl w:val="76E4905E"/>
    <w:lvl w:ilvl="0" w:tplc="328481B0">
      <w:start w:val="1"/>
      <w:numFmt w:val="thaiLetters"/>
      <w:lvlText w:val="(%1)"/>
      <w:lvlJc w:val="left"/>
      <w:pPr>
        <w:ind w:left="2061" w:hanging="360"/>
      </w:pPr>
      <w:rPr>
        <w:rFonts w:hint="default"/>
      </w:rPr>
    </w:lvl>
    <w:lvl w:ilvl="1" w:tplc="F41671CA">
      <w:start w:val="1"/>
      <w:numFmt w:val="bullet"/>
      <w:lvlText w:val="–"/>
      <w:lvlJc w:val="left"/>
      <w:pPr>
        <w:ind w:left="2781" w:hanging="360"/>
      </w:pPr>
      <w:rPr>
        <w:rFonts w:ascii="DilleniaUPC" w:hAnsi="DilleniaUPC" w:hint="default"/>
        <w:sz w:val="28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451F0C"/>
    <w:multiLevelType w:val="hybridMultilevel"/>
    <w:tmpl w:val="93B281A0"/>
    <w:lvl w:ilvl="0" w:tplc="0742CCBE">
      <w:start w:val="1"/>
      <w:numFmt w:val="decimal"/>
      <w:lvlText w:val="(%1)"/>
      <w:lvlJc w:val="left"/>
      <w:pPr>
        <w:ind w:left="1429" w:hanging="360"/>
      </w:pPr>
      <w:rPr>
        <w:rFonts w:ascii="DilleniaUPC" w:hAnsi="DilleniaUPC" w:cs="DilleniaUPC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F85E84"/>
    <w:multiLevelType w:val="hybridMultilevel"/>
    <w:tmpl w:val="5324E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F664DA"/>
    <w:multiLevelType w:val="hybridMultilevel"/>
    <w:tmpl w:val="3D2E63E4"/>
    <w:lvl w:ilvl="0" w:tplc="8790179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328481B0">
      <w:start w:val="1"/>
      <w:numFmt w:val="thaiLetters"/>
      <w:lvlText w:val="(%2)"/>
      <w:lvlJc w:val="left"/>
      <w:pPr>
        <w:ind w:left="2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4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3"/>
    <w:rsid w:val="00000EA1"/>
    <w:rsid w:val="000025E8"/>
    <w:rsid w:val="000040E3"/>
    <w:rsid w:val="000061DD"/>
    <w:rsid w:val="00022720"/>
    <w:rsid w:val="00031F50"/>
    <w:rsid w:val="00034F71"/>
    <w:rsid w:val="000363B8"/>
    <w:rsid w:val="000403D7"/>
    <w:rsid w:val="00041183"/>
    <w:rsid w:val="000453B1"/>
    <w:rsid w:val="00046A57"/>
    <w:rsid w:val="00056506"/>
    <w:rsid w:val="00060532"/>
    <w:rsid w:val="00061618"/>
    <w:rsid w:val="000728E0"/>
    <w:rsid w:val="00074B92"/>
    <w:rsid w:val="00074D26"/>
    <w:rsid w:val="00076AAA"/>
    <w:rsid w:val="00087310"/>
    <w:rsid w:val="00091429"/>
    <w:rsid w:val="00093140"/>
    <w:rsid w:val="000A499B"/>
    <w:rsid w:val="000A797E"/>
    <w:rsid w:val="000B3BD2"/>
    <w:rsid w:val="000B7213"/>
    <w:rsid w:val="000C547E"/>
    <w:rsid w:val="000D3EFA"/>
    <w:rsid w:val="000E1230"/>
    <w:rsid w:val="000F467E"/>
    <w:rsid w:val="000F502E"/>
    <w:rsid w:val="000F63AE"/>
    <w:rsid w:val="000F78FE"/>
    <w:rsid w:val="001011E0"/>
    <w:rsid w:val="00101C43"/>
    <w:rsid w:val="00110DFF"/>
    <w:rsid w:val="0011539E"/>
    <w:rsid w:val="00122E88"/>
    <w:rsid w:val="00123A59"/>
    <w:rsid w:val="00125CBF"/>
    <w:rsid w:val="00133E01"/>
    <w:rsid w:val="0014087F"/>
    <w:rsid w:val="00140ED2"/>
    <w:rsid w:val="00146537"/>
    <w:rsid w:val="00147E55"/>
    <w:rsid w:val="00151A46"/>
    <w:rsid w:val="00165439"/>
    <w:rsid w:val="00166C19"/>
    <w:rsid w:val="00171AF1"/>
    <w:rsid w:val="0017238C"/>
    <w:rsid w:val="001749EE"/>
    <w:rsid w:val="00177202"/>
    <w:rsid w:val="0018338D"/>
    <w:rsid w:val="001833C4"/>
    <w:rsid w:val="00191097"/>
    <w:rsid w:val="001A1C06"/>
    <w:rsid w:val="001A2FB5"/>
    <w:rsid w:val="001A63F3"/>
    <w:rsid w:val="001A74E8"/>
    <w:rsid w:val="001B07FF"/>
    <w:rsid w:val="001B4FF9"/>
    <w:rsid w:val="001B7E14"/>
    <w:rsid w:val="001C0790"/>
    <w:rsid w:val="001C19A0"/>
    <w:rsid w:val="001C2E75"/>
    <w:rsid w:val="001D485C"/>
    <w:rsid w:val="001E0341"/>
    <w:rsid w:val="001E2369"/>
    <w:rsid w:val="001F0AF7"/>
    <w:rsid w:val="001F1086"/>
    <w:rsid w:val="00210091"/>
    <w:rsid w:val="0021539C"/>
    <w:rsid w:val="00216F23"/>
    <w:rsid w:val="00224D99"/>
    <w:rsid w:val="002251E1"/>
    <w:rsid w:val="00232683"/>
    <w:rsid w:val="002345E6"/>
    <w:rsid w:val="00236194"/>
    <w:rsid w:val="00244560"/>
    <w:rsid w:val="002539A6"/>
    <w:rsid w:val="002542E2"/>
    <w:rsid w:val="00260AD8"/>
    <w:rsid w:val="002659D4"/>
    <w:rsid w:val="0027057B"/>
    <w:rsid w:val="00277260"/>
    <w:rsid w:val="00296057"/>
    <w:rsid w:val="002A3A3A"/>
    <w:rsid w:val="002B101B"/>
    <w:rsid w:val="002B11C0"/>
    <w:rsid w:val="002C44B0"/>
    <w:rsid w:val="002D259E"/>
    <w:rsid w:val="002D3CE3"/>
    <w:rsid w:val="002F1ADB"/>
    <w:rsid w:val="002F1FB1"/>
    <w:rsid w:val="003006B5"/>
    <w:rsid w:val="00303E7D"/>
    <w:rsid w:val="00317693"/>
    <w:rsid w:val="00325931"/>
    <w:rsid w:val="00325F76"/>
    <w:rsid w:val="003303AE"/>
    <w:rsid w:val="0033045F"/>
    <w:rsid w:val="003337CB"/>
    <w:rsid w:val="00340EFC"/>
    <w:rsid w:val="0034134C"/>
    <w:rsid w:val="003466AE"/>
    <w:rsid w:val="00352A2C"/>
    <w:rsid w:val="003566DE"/>
    <w:rsid w:val="003626F4"/>
    <w:rsid w:val="00366909"/>
    <w:rsid w:val="00366D91"/>
    <w:rsid w:val="00370B71"/>
    <w:rsid w:val="00370D3C"/>
    <w:rsid w:val="00372E6B"/>
    <w:rsid w:val="003762C7"/>
    <w:rsid w:val="0038093D"/>
    <w:rsid w:val="003816D0"/>
    <w:rsid w:val="00386C64"/>
    <w:rsid w:val="003935FA"/>
    <w:rsid w:val="0039701A"/>
    <w:rsid w:val="003A30B5"/>
    <w:rsid w:val="003A3BFE"/>
    <w:rsid w:val="003B6AFE"/>
    <w:rsid w:val="003C350C"/>
    <w:rsid w:val="003C483C"/>
    <w:rsid w:val="003D098E"/>
    <w:rsid w:val="003D0CCB"/>
    <w:rsid w:val="003D5EB6"/>
    <w:rsid w:val="003E2CC0"/>
    <w:rsid w:val="003E6799"/>
    <w:rsid w:val="004044BB"/>
    <w:rsid w:val="004116E0"/>
    <w:rsid w:val="00417636"/>
    <w:rsid w:val="00420AAC"/>
    <w:rsid w:val="00423356"/>
    <w:rsid w:val="004279F8"/>
    <w:rsid w:val="004306CB"/>
    <w:rsid w:val="0043568F"/>
    <w:rsid w:val="00444F93"/>
    <w:rsid w:val="0044658A"/>
    <w:rsid w:val="004529FB"/>
    <w:rsid w:val="00454674"/>
    <w:rsid w:val="00455C24"/>
    <w:rsid w:val="00466391"/>
    <w:rsid w:val="00466BD8"/>
    <w:rsid w:val="0046755F"/>
    <w:rsid w:val="00472D40"/>
    <w:rsid w:val="004770D8"/>
    <w:rsid w:val="0047748A"/>
    <w:rsid w:val="00483821"/>
    <w:rsid w:val="004846CB"/>
    <w:rsid w:val="00490C6F"/>
    <w:rsid w:val="0049174F"/>
    <w:rsid w:val="00493EB2"/>
    <w:rsid w:val="004A24F6"/>
    <w:rsid w:val="004A4F16"/>
    <w:rsid w:val="004A52BA"/>
    <w:rsid w:val="004B46DD"/>
    <w:rsid w:val="004B4D53"/>
    <w:rsid w:val="004B6BF2"/>
    <w:rsid w:val="004B6DC3"/>
    <w:rsid w:val="004C1FF3"/>
    <w:rsid w:val="004D045B"/>
    <w:rsid w:val="004D1774"/>
    <w:rsid w:val="004D2D0F"/>
    <w:rsid w:val="004D462A"/>
    <w:rsid w:val="004D4BAF"/>
    <w:rsid w:val="004D5D09"/>
    <w:rsid w:val="004D68D8"/>
    <w:rsid w:val="004E301B"/>
    <w:rsid w:val="004E6D17"/>
    <w:rsid w:val="004F6C07"/>
    <w:rsid w:val="004F7FC4"/>
    <w:rsid w:val="00517432"/>
    <w:rsid w:val="005175CD"/>
    <w:rsid w:val="00523EB4"/>
    <w:rsid w:val="0053064D"/>
    <w:rsid w:val="00540AD0"/>
    <w:rsid w:val="00546830"/>
    <w:rsid w:val="00550282"/>
    <w:rsid w:val="00555084"/>
    <w:rsid w:val="00562CEE"/>
    <w:rsid w:val="005738AD"/>
    <w:rsid w:val="00574649"/>
    <w:rsid w:val="00580C6E"/>
    <w:rsid w:val="00581080"/>
    <w:rsid w:val="005978AD"/>
    <w:rsid w:val="005B560B"/>
    <w:rsid w:val="005C6444"/>
    <w:rsid w:val="005C773E"/>
    <w:rsid w:val="005D1868"/>
    <w:rsid w:val="005D3EA1"/>
    <w:rsid w:val="005D4AE9"/>
    <w:rsid w:val="005E0433"/>
    <w:rsid w:val="005E12E2"/>
    <w:rsid w:val="005F1D01"/>
    <w:rsid w:val="005F2B80"/>
    <w:rsid w:val="005F382C"/>
    <w:rsid w:val="00603C29"/>
    <w:rsid w:val="00606777"/>
    <w:rsid w:val="00607C48"/>
    <w:rsid w:val="00611AD6"/>
    <w:rsid w:val="006133AF"/>
    <w:rsid w:val="00616925"/>
    <w:rsid w:val="00617129"/>
    <w:rsid w:val="006220EB"/>
    <w:rsid w:val="00622E9F"/>
    <w:rsid w:val="00624783"/>
    <w:rsid w:val="006264C3"/>
    <w:rsid w:val="00627551"/>
    <w:rsid w:val="00631DDD"/>
    <w:rsid w:val="00643429"/>
    <w:rsid w:val="006661F1"/>
    <w:rsid w:val="0066785F"/>
    <w:rsid w:val="00672359"/>
    <w:rsid w:val="0067248D"/>
    <w:rsid w:val="00674651"/>
    <w:rsid w:val="00675617"/>
    <w:rsid w:val="00676D67"/>
    <w:rsid w:val="0068507E"/>
    <w:rsid w:val="00690143"/>
    <w:rsid w:val="006913EB"/>
    <w:rsid w:val="006A3D95"/>
    <w:rsid w:val="006A69E2"/>
    <w:rsid w:val="006B203F"/>
    <w:rsid w:val="006B7D90"/>
    <w:rsid w:val="006C5A89"/>
    <w:rsid w:val="006C762D"/>
    <w:rsid w:val="006D7555"/>
    <w:rsid w:val="006E5D63"/>
    <w:rsid w:val="006F7B9B"/>
    <w:rsid w:val="00700795"/>
    <w:rsid w:val="00700CF2"/>
    <w:rsid w:val="007110FA"/>
    <w:rsid w:val="0071174C"/>
    <w:rsid w:val="00712F66"/>
    <w:rsid w:val="00713894"/>
    <w:rsid w:val="00714269"/>
    <w:rsid w:val="007267C3"/>
    <w:rsid w:val="00731835"/>
    <w:rsid w:val="00731E31"/>
    <w:rsid w:val="0073226D"/>
    <w:rsid w:val="00756A38"/>
    <w:rsid w:val="00762395"/>
    <w:rsid w:val="00765461"/>
    <w:rsid w:val="00766E81"/>
    <w:rsid w:val="007720AA"/>
    <w:rsid w:val="00780B66"/>
    <w:rsid w:val="00780BCA"/>
    <w:rsid w:val="007851DD"/>
    <w:rsid w:val="00785C36"/>
    <w:rsid w:val="00793612"/>
    <w:rsid w:val="00793850"/>
    <w:rsid w:val="00796981"/>
    <w:rsid w:val="007A4100"/>
    <w:rsid w:val="007A5B52"/>
    <w:rsid w:val="007B2B3B"/>
    <w:rsid w:val="007B381A"/>
    <w:rsid w:val="007C6DB3"/>
    <w:rsid w:val="007D4C28"/>
    <w:rsid w:val="007D6654"/>
    <w:rsid w:val="007D66BA"/>
    <w:rsid w:val="008067C7"/>
    <w:rsid w:val="0080750D"/>
    <w:rsid w:val="008155CC"/>
    <w:rsid w:val="00816A9E"/>
    <w:rsid w:val="0082197E"/>
    <w:rsid w:val="00825819"/>
    <w:rsid w:val="00827733"/>
    <w:rsid w:val="0083266E"/>
    <w:rsid w:val="008326B8"/>
    <w:rsid w:val="008353E3"/>
    <w:rsid w:val="0083624C"/>
    <w:rsid w:val="0083654A"/>
    <w:rsid w:val="008375DB"/>
    <w:rsid w:val="00853B83"/>
    <w:rsid w:val="00862E0E"/>
    <w:rsid w:val="00873698"/>
    <w:rsid w:val="008744D6"/>
    <w:rsid w:val="00875727"/>
    <w:rsid w:val="00882B72"/>
    <w:rsid w:val="008856CF"/>
    <w:rsid w:val="008908A1"/>
    <w:rsid w:val="00894FE4"/>
    <w:rsid w:val="008951FF"/>
    <w:rsid w:val="008A1CCC"/>
    <w:rsid w:val="008A4BC5"/>
    <w:rsid w:val="008B2081"/>
    <w:rsid w:val="008C1788"/>
    <w:rsid w:val="008C3FBF"/>
    <w:rsid w:val="008C63E0"/>
    <w:rsid w:val="008D4747"/>
    <w:rsid w:val="008D56A1"/>
    <w:rsid w:val="008D5935"/>
    <w:rsid w:val="008E1A8B"/>
    <w:rsid w:val="008E539D"/>
    <w:rsid w:val="008F09BC"/>
    <w:rsid w:val="008F2053"/>
    <w:rsid w:val="008F5F0E"/>
    <w:rsid w:val="008F7046"/>
    <w:rsid w:val="00907684"/>
    <w:rsid w:val="009168F0"/>
    <w:rsid w:val="00917C51"/>
    <w:rsid w:val="00921451"/>
    <w:rsid w:val="00930409"/>
    <w:rsid w:val="0093070D"/>
    <w:rsid w:val="00934B82"/>
    <w:rsid w:val="00935813"/>
    <w:rsid w:val="00935C7E"/>
    <w:rsid w:val="00940FCE"/>
    <w:rsid w:val="00945FC1"/>
    <w:rsid w:val="00955A6C"/>
    <w:rsid w:val="0095670A"/>
    <w:rsid w:val="009570D3"/>
    <w:rsid w:val="00957661"/>
    <w:rsid w:val="00957E5E"/>
    <w:rsid w:val="00962296"/>
    <w:rsid w:val="00965D91"/>
    <w:rsid w:val="009679DD"/>
    <w:rsid w:val="00971E21"/>
    <w:rsid w:val="00980E49"/>
    <w:rsid w:val="00982AE8"/>
    <w:rsid w:val="00992AD0"/>
    <w:rsid w:val="00994652"/>
    <w:rsid w:val="009B2ABE"/>
    <w:rsid w:val="009B5059"/>
    <w:rsid w:val="009B7E59"/>
    <w:rsid w:val="009C4F4A"/>
    <w:rsid w:val="009D1002"/>
    <w:rsid w:val="009D1BD4"/>
    <w:rsid w:val="009D3961"/>
    <w:rsid w:val="009F3B1E"/>
    <w:rsid w:val="009F6832"/>
    <w:rsid w:val="009F696D"/>
    <w:rsid w:val="00A02565"/>
    <w:rsid w:val="00A10437"/>
    <w:rsid w:val="00A10C33"/>
    <w:rsid w:val="00A10FF9"/>
    <w:rsid w:val="00A12389"/>
    <w:rsid w:val="00A1433A"/>
    <w:rsid w:val="00A17096"/>
    <w:rsid w:val="00A1781E"/>
    <w:rsid w:val="00A20913"/>
    <w:rsid w:val="00A24912"/>
    <w:rsid w:val="00A35B5E"/>
    <w:rsid w:val="00A363E2"/>
    <w:rsid w:val="00A41004"/>
    <w:rsid w:val="00A5011A"/>
    <w:rsid w:val="00A62915"/>
    <w:rsid w:val="00A708BD"/>
    <w:rsid w:val="00A70B33"/>
    <w:rsid w:val="00A74429"/>
    <w:rsid w:val="00A77FAC"/>
    <w:rsid w:val="00A82066"/>
    <w:rsid w:val="00A877D8"/>
    <w:rsid w:val="00A87D06"/>
    <w:rsid w:val="00A9518B"/>
    <w:rsid w:val="00A9722F"/>
    <w:rsid w:val="00AA1110"/>
    <w:rsid w:val="00AA190D"/>
    <w:rsid w:val="00AB2651"/>
    <w:rsid w:val="00AB6D66"/>
    <w:rsid w:val="00AC4528"/>
    <w:rsid w:val="00AC4768"/>
    <w:rsid w:val="00AC5831"/>
    <w:rsid w:val="00AC58DA"/>
    <w:rsid w:val="00AD19AF"/>
    <w:rsid w:val="00AE6363"/>
    <w:rsid w:val="00AE7138"/>
    <w:rsid w:val="00AF2B86"/>
    <w:rsid w:val="00AF2F1F"/>
    <w:rsid w:val="00AF7D0C"/>
    <w:rsid w:val="00B02C2F"/>
    <w:rsid w:val="00B24739"/>
    <w:rsid w:val="00B33EC1"/>
    <w:rsid w:val="00B40EA6"/>
    <w:rsid w:val="00B44179"/>
    <w:rsid w:val="00B4775C"/>
    <w:rsid w:val="00B47F62"/>
    <w:rsid w:val="00B51F91"/>
    <w:rsid w:val="00B603F4"/>
    <w:rsid w:val="00B75A2D"/>
    <w:rsid w:val="00B86D04"/>
    <w:rsid w:val="00B87CAE"/>
    <w:rsid w:val="00B95540"/>
    <w:rsid w:val="00B956D4"/>
    <w:rsid w:val="00BA0EC0"/>
    <w:rsid w:val="00BA1785"/>
    <w:rsid w:val="00BA792B"/>
    <w:rsid w:val="00BB110F"/>
    <w:rsid w:val="00BB3C19"/>
    <w:rsid w:val="00BB6ECB"/>
    <w:rsid w:val="00BC1013"/>
    <w:rsid w:val="00BC1A56"/>
    <w:rsid w:val="00BC4AD3"/>
    <w:rsid w:val="00BD0CFC"/>
    <w:rsid w:val="00BD42F3"/>
    <w:rsid w:val="00BD7D54"/>
    <w:rsid w:val="00BE01FA"/>
    <w:rsid w:val="00BE4229"/>
    <w:rsid w:val="00BE780D"/>
    <w:rsid w:val="00BE7A8D"/>
    <w:rsid w:val="00BF6813"/>
    <w:rsid w:val="00C01582"/>
    <w:rsid w:val="00C02447"/>
    <w:rsid w:val="00C03DF8"/>
    <w:rsid w:val="00C1315A"/>
    <w:rsid w:val="00C16DD1"/>
    <w:rsid w:val="00C16FAF"/>
    <w:rsid w:val="00C17BAA"/>
    <w:rsid w:val="00C3449B"/>
    <w:rsid w:val="00C43600"/>
    <w:rsid w:val="00C44646"/>
    <w:rsid w:val="00C506EA"/>
    <w:rsid w:val="00C55CC1"/>
    <w:rsid w:val="00C647CA"/>
    <w:rsid w:val="00C67859"/>
    <w:rsid w:val="00C7207A"/>
    <w:rsid w:val="00C82C35"/>
    <w:rsid w:val="00C85B84"/>
    <w:rsid w:val="00C86178"/>
    <w:rsid w:val="00C934E7"/>
    <w:rsid w:val="00CA2355"/>
    <w:rsid w:val="00CA2B09"/>
    <w:rsid w:val="00CA467E"/>
    <w:rsid w:val="00CA56BC"/>
    <w:rsid w:val="00CB3D0A"/>
    <w:rsid w:val="00CC1506"/>
    <w:rsid w:val="00CC3A7E"/>
    <w:rsid w:val="00CC7661"/>
    <w:rsid w:val="00CD196F"/>
    <w:rsid w:val="00CE6937"/>
    <w:rsid w:val="00CE6E89"/>
    <w:rsid w:val="00CF2B10"/>
    <w:rsid w:val="00CF4560"/>
    <w:rsid w:val="00CF7CEF"/>
    <w:rsid w:val="00D05941"/>
    <w:rsid w:val="00D0617B"/>
    <w:rsid w:val="00D12F98"/>
    <w:rsid w:val="00D146A0"/>
    <w:rsid w:val="00D15776"/>
    <w:rsid w:val="00D1774D"/>
    <w:rsid w:val="00D34581"/>
    <w:rsid w:val="00D366E8"/>
    <w:rsid w:val="00D41C5C"/>
    <w:rsid w:val="00D46EFD"/>
    <w:rsid w:val="00D5115F"/>
    <w:rsid w:val="00D521F3"/>
    <w:rsid w:val="00D55580"/>
    <w:rsid w:val="00D5559C"/>
    <w:rsid w:val="00D57482"/>
    <w:rsid w:val="00D606BF"/>
    <w:rsid w:val="00D62A62"/>
    <w:rsid w:val="00D62CBB"/>
    <w:rsid w:val="00D677F0"/>
    <w:rsid w:val="00D763F9"/>
    <w:rsid w:val="00D8211F"/>
    <w:rsid w:val="00D96727"/>
    <w:rsid w:val="00DA1753"/>
    <w:rsid w:val="00DA7F0B"/>
    <w:rsid w:val="00DB12B9"/>
    <w:rsid w:val="00DD06CF"/>
    <w:rsid w:val="00DD375D"/>
    <w:rsid w:val="00DE731A"/>
    <w:rsid w:val="00DF1063"/>
    <w:rsid w:val="00DF1922"/>
    <w:rsid w:val="00DF5516"/>
    <w:rsid w:val="00E0472A"/>
    <w:rsid w:val="00E20ED9"/>
    <w:rsid w:val="00E21D1A"/>
    <w:rsid w:val="00E31255"/>
    <w:rsid w:val="00E32613"/>
    <w:rsid w:val="00E348B2"/>
    <w:rsid w:val="00E35F9C"/>
    <w:rsid w:val="00E3774C"/>
    <w:rsid w:val="00E42650"/>
    <w:rsid w:val="00E442C7"/>
    <w:rsid w:val="00E45724"/>
    <w:rsid w:val="00E53871"/>
    <w:rsid w:val="00E55AB5"/>
    <w:rsid w:val="00E6390D"/>
    <w:rsid w:val="00E65B2E"/>
    <w:rsid w:val="00E65EA9"/>
    <w:rsid w:val="00E66721"/>
    <w:rsid w:val="00E85554"/>
    <w:rsid w:val="00E87C51"/>
    <w:rsid w:val="00E93435"/>
    <w:rsid w:val="00E96DFB"/>
    <w:rsid w:val="00EA1B18"/>
    <w:rsid w:val="00EA2377"/>
    <w:rsid w:val="00EA2C02"/>
    <w:rsid w:val="00EB071D"/>
    <w:rsid w:val="00EB7E10"/>
    <w:rsid w:val="00EC18C4"/>
    <w:rsid w:val="00EC3D7B"/>
    <w:rsid w:val="00EC6E85"/>
    <w:rsid w:val="00EC7267"/>
    <w:rsid w:val="00EE2AC8"/>
    <w:rsid w:val="00EE5634"/>
    <w:rsid w:val="00F05C35"/>
    <w:rsid w:val="00F12BC8"/>
    <w:rsid w:val="00F2390A"/>
    <w:rsid w:val="00F2480E"/>
    <w:rsid w:val="00F32B81"/>
    <w:rsid w:val="00F37DB4"/>
    <w:rsid w:val="00F40968"/>
    <w:rsid w:val="00F417F8"/>
    <w:rsid w:val="00F4227C"/>
    <w:rsid w:val="00F55378"/>
    <w:rsid w:val="00F55408"/>
    <w:rsid w:val="00F55942"/>
    <w:rsid w:val="00F60D57"/>
    <w:rsid w:val="00F67454"/>
    <w:rsid w:val="00F70911"/>
    <w:rsid w:val="00F7196A"/>
    <w:rsid w:val="00F72021"/>
    <w:rsid w:val="00F8143C"/>
    <w:rsid w:val="00F87658"/>
    <w:rsid w:val="00F9197D"/>
    <w:rsid w:val="00F92C2E"/>
    <w:rsid w:val="00F94BE4"/>
    <w:rsid w:val="00F9555D"/>
    <w:rsid w:val="00F95EA5"/>
    <w:rsid w:val="00FA10B1"/>
    <w:rsid w:val="00FA2EDE"/>
    <w:rsid w:val="00FA65F4"/>
    <w:rsid w:val="00FB2FD4"/>
    <w:rsid w:val="00FC2B93"/>
    <w:rsid w:val="00FD1BF4"/>
    <w:rsid w:val="00FE393B"/>
    <w:rsid w:val="00FE68B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85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5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85554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554"/>
    <w:rPr>
      <w:b/>
      <w:bCs/>
      <w:szCs w:val="25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85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555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85554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554"/>
    <w:rPr>
      <w:b/>
      <w:bCs/>
      <w:szCs w:val="2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0105-A181-47CF-85F0-6AB6BA1C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Bawornpan Ashakul</dc:creator>
  <cp:lastModifiedBy>Sunisa Lohma</cp:lastModifiedBy>
  <cp:revision>2</cp:revision>
  <cp:lastPrinted>2019-11-15T03:35:00Z</cp:lastPrinted>
  <dcterms:created xsi:type="dcterms:W3CDTF">2019-11-18T09:38:00Z</dcterms:created>
  <dcterms:modified xsi:type="dcterms:W3CDTF">2019-11-18T09:38:00Z</dcterms:modified>
</cp:coreProperties>
</file>