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C" w:rsidRDefault="00D5679C" w:rsidP="00A358BE">
      <w:pPr>
        <w:rPr>
          <w:rFonts w:ascii="Cordia New" w:hAnsi="Cordia New" w:cs="DilleniaUPC"/>
          <w:color w:val="FF0000"/>
          <w:sz w:val="36"/>
          <w:szCs w:val="36"/>
        </w:rPr>
      </w:pPr>
      <w:bookmarkStart w:id="0" w:name="_GoBack"/>
      <w:bookmarkEnd w:id="0"/>
    </w:p>
    <w:p w:rsidR="00D35F70" w:rsidRDefault="00D35F70" w:rsidP="00A358BE">
      <w:pPr>
        <w:rPr>
          <w:rFonts w:ascii="Cordia New" w:hAnsi="Cordia New" w:cs="DilleniaUPC"/>
          <w:color w:val="FF0000"/>
          <w:sz w:val="36"/>
          <w:szCs w:val="36"/>
        </w:rPr>
      </w:pPr>
    </w:p>
    <w:p w:rsidR="00D5679C" w:rsidRPr="00535B3D" w:rsidRDefault="00D5679C">
      <w:pPr>
        <w:rPr>
          <w:rFonts w:ascii="Cordia New" w:hAnsi="Cordia New" w:cs="DilleniaUPC" w:hint="cs"/>
          <w:sz w:val="22"/>
          <w:szCs w:val="22"/>
        </w:rPr>
      </w:pPr>
    </w:p>
    <w:p w:rsidR="004E5661" w:rsidRDefault="00CD39C2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แนวทาง</w:t>
      </w:r>
      <w:r w:rsidR="00AE2659">
        <w:rPr>
          <w:rFonts w:ascii="Cordia New" w:hAnsi="Cordia New" w:cs="DilleniaUPC" w:hint="cs"/>
          <w:b/>
          <w:bCs/>
          <w:sz w:val="40"/>
          <w:szCs w:val="40"/>
          <w:cs/>
        </w:rPr>
        <w:t>การ</w:t>
      </w:r>
      <w:r>
        <w:rPr>
          <w:rFonts w:ascii="Cordia New" w:hAnsi="Cordia New" w:cs="DilleniaUPC" w:hint="cs"/>
          <w:b/>
          <w:bCs/>
          <w:sz w:val="40"/>
          <w:szCs w:val="40"/>
          <w:cs/>
        </w:rPr>
        <w:t>ปฏิบัติงาน</w:t>
      </w:r>
    </w:p>
    <w:p w:rsidR="00CD39C2" w:rsidRPr="00B421AF" w:rsidRDefault="00CD39C2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  <w:cs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เรื่อง การแยกทรัพย์สินประเภทเงินของลูกค้า</w:t>
      </w:r>
    </w:p>
    <w:p w:rsidR="00365F35" w:rsidRPr="00365F35" w:rsidRDefault="00365F35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  <w:cs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--------------------------------------</w:t>
      </w:r>
    </w:p>
    <w:p w:rsidR="00535B3D" w:rsidRPr="00333619" w:rsidRDefault="00535B3D" w:rsidP="00E4596F">
      <w:pPr>
        <w:ind w:left="709" w:hanging="709"/>
        <w:rPr>
          <w:rFonts w:ascii="Cordia New" w:hAnsi="Cordia New" w:cs="DilleniaUPC" w:hint="cs"/>
          <w:sz w:val="16"/>
          <w:szCs w:val="16"/>
        </w:rPr>
      </w:pPr>
    </w:p>
    <w:p w:rsidR="004E5661" w:rsidRPr="0002561B" w:rsidRDefault="004E5661" w:rsidP="00C01373">
      <w:pPr>
        <w:ind w:right="-86"/>
        <w:rPr>
          <w:rFonts w:ascii="Cordia New" w:hAnsi="Cordia New" w:cs="DilleniaUPC"/>
          <w:szCs w:val="24"/>
        </w:rPr>
      </w:pPr>
    </w:p>
    <w:p w:rsidR="00AE2659" w:rsidRDefault="00CD39C2" w:rsidP="00AE2659">
      <w:pPr>
        <w:spacing w:line="276" w:lineRule="auto"/>
        <w:ind w:firstLine="720"/>
        <w:jc w:val="thaiDistribute"/>
        <w:rPr>
          <w:rFonts w:ascii="DilleniaUPC" w:eastAsia="Calibri" w:hAnsi="DilleniaUPC" w:cs="DilleniaUPC" w:hint="cs"/>
          <w:sz w:val="32"/>
          <w:szCs w:val="32"/>
          <w:lang w:eastAsia="en-US"/>
        </w:rPr>
      </w:pP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เพื่อมิให้เป็นภาระด้านการเงินและให้เกิดความคล่องตัวในการปฏิบัติงาน</w:t>
      </w: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ของสมาชิกสมาคม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ในการแยกทรัพย์สินลูกค้าบางกรณี</w:t>
      </w:r>
      <w:r w:rsidR="0095675E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</w:p>
    <w:p w:rsidR="00CD39C2" w:rsidRDefault="0095675E" w:rsidP="0008028C">
      <w:pPr>
        <w:spacing w:line="276" w:lineRule="auto"/>
        <w:ind w:firstLine="720"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อ้างถึง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ประกาศ</w:t>
      </w:r>
      <w:r w:rsidR="004A25E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คณะกรรมการกำกับตลาดทุน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ที่ ทธ</w:t>
      </w:r>
      <w:r w:rsidR="004A25E9" w:rsidRPr="00CD39C2">
        <w:rPr>
          <w:rFonts w:ascii="DilleniaUPC" w:eastAsia="Calibri" w:hAnsi="DilleniaUPC" w:cs="DilleniaUPC"/>
          <w:sz w:val="32"/>
          <w:szCs w:val="32"/>
          <w:lang w:eastAsia="en-US"/>
        </w:rPr>
        <w:t>.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43/2552</w:t>
      </w:r>
      <w:r w:rsidR="004A25E9"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เรื่อง</w:t>
      </w:r>
      <w:r w:rsidR="004A25E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การดูแลทรัพย์สินของลูกค้าของบริษัทหลักทรัพย์</w:t>
      </w:r>
      <w:r w:rsidR="004A25E9"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หมวด 3 ข้อ 17 (1)</w:t>
      </w:r>
      <w:r w:rsidR="0008028C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  <w:r w:rsidR="00AE265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ซึ่งกำหนดให้บริษัทสามารถแยกจำนวนเงินที่เป็นทรัพย์สินประเภทเงินของลูกค้าในแต่ละวันได้ 2 แนวทาง</w:t>
      </w:r>
      <w:r w:rsidR="00AE2659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AE265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ได้แก่ การแยกทรัพย์สินประเภทเงินของลูกค้า ณ สิ้นวันทำการก่อน</w:t>
      </w:r>
      <w:r w:rsidR="00AE2659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AE265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(</w:t>
      </w:r>
      <w:r w:rsidR="00AE2659">
        <w:rPr>
          <w:rFonts w:ascii="DilleniaUPC" w:eastAsia="Calibri" w:hAnsi="DilleniaUPC" w:cs="DilleniaUPC"/>
          <w:sz w:val="32"/>
          <w:szCs w:val="32"/>
          <w:lang w:eastAsia="en-US"/>
        </w:rPr>
        <w:t xml:space="preserve">T-1) </w:t>
      </w:r>
      <w:r w:rsidR="00AE265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และ การแยกทรัพย์สินประเภทเงินของลูกค้า ณ สิ้นวันทำการปัจจุบัน (</w:t>
      </w:r>
      <w:r w:rsidR="00AE2659">
        <w:rPr>
          <w:rFonts w:ascii="DilleniaUPC" w:eastAsia="Calibri" w:hAnsi="DilleniaUPC" w:cs="DilleniaUPC"/>
          <w:sz w:val="32"/>
          <w:szCs w:val="32"/>
          <w:lang w:eastAsia="en-US"/>
        </w:rPr>
        <w:t xml:space="preserve">T) </w:t>
      </w:r>
      <w:r w:rsidR="0008028C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โดยความเห็นชอบของสำนักงานกำกับหลักทรัพย์และตลาดหลักทรัพย์</w:t>
      </w:r>
      <w:r w:rsidR="004A25E9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สมาคมบริษัทหลักทรัพย์ไทย</w:t>
      </w:r>
      <w:r w:rsidR="0008028C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จึงกำหนดแนวทางการปฏิบัติงาน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ในการแยกทรัพย์สิน</w:t>
      </w:r>
      <w:r w:rsidR="00455EA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ลูกค้า</w:t>
      </w:r>
      <w:r w:rsidR="00CD39C2"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08028C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เพื่อ</w:t>
      </w:r>
      <w:r w:rsidR="00455EA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เป็นทางเลือก</w:t>
      </w:r>
      <w:r w:rsidR="0008028C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ให้สมาชิกสมาคมถือปฏิบัติ 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ดังนี้</w:t>
      </w:r>
    </w:p>
    <w:p w:rsidR="0008028C" w:rsidRDefault="0008028C" w:rsidP="0008028C">
      <w:pPr>
        <w:numPr>
          <w:ilvl w:val="0"/>
          <w:numId w:val="14"/>
        </w:numPr>
        <w:spacing w:line="276" w:lineRule="auto"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ในแนวทาง</w:t>
      </w:r>
      <w:r w:rsidR="00AE2659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การ</w:t>
      </w: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ปฏิบัติ</w:t>
      </w:r>
      <w:r w:rsidR="0095675E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งาน</w:t>
      </w: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นี้</w:t>
      </w:r>
    </w:p>
    <w:p w:rsidR="0095675E" w:rsidRDefault="0095675E" w:rsidP="0095675E">
      <w:pPr>
        <w:ind w:left="360" w:right="-64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สมาคม</w:t>
      </w:r>
      <w:r>
        <w:rPr>
          <w:rFonts w:ascii="DilleniaUPC" w:hAnsi="DilleniaUPC" w:cs="DilleniaUPC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:rsidR="0095675E" w:rsidRDefault="0095675E" w:rsidP="0095675E">
      <w:pPr>
        <w:ind w:left="360"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สมาชิกสมาคม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566035" w:rsidRPr="00566035" w:rsidRDefault="00BB599F" w:rsidP="00566035">
      <w:pPr>
        <w:tabs>
          <w:tab w:val="left" w:pos="426"/>
        </w:tabs>
        <w:ind w:right="-64" w:firstLine="283"/>
        <w:jc w:val="thaiDistribute"/>
        <w:rPr>
          <w:rFonts w:ascii="DilleniaUPC" w:eastAsia="Batang" w:hAnsi="DilleniaUPC" w:cs="DilleniaUPC" w:hint="cs"/>
          <w:sz w:val="30"/>
          <w:szCs w:val="30"/>
          <w:lang w:eastAsia="ko-KR"/>
        </w:rPr>
      </w:pPr>
      <w:r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 </w:t>
      </w:r>
      <w:r w:rsidR="00566035" w:rsidRPr="00566035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นอกเหนือจากคำที่บัญญัติไว้ข้างต้น ให้คำที่ปรากฏใน</w:t>
      </w:r>
      <w:r w:rsidR="00566035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แนวทาง</w:t>
      </w:r>
      <w:r w:rsidR="00566035" w:rsidRPr="00566035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ปฏิบัติ</w:t>
      </w:r>
      <w:r w:rsidR="00566035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งาน</w:t>
      </w:r>
      <w:r w:rsidR="00566035" w:rsidRPr="00566035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 xml:space="preserve">ฉบับนี้มีความหมายเป็นไปตามนิยาม ที่กำหนดไว้ใน   </w:t>
      </w:r>
    </w:p>
    <w:p w:rsidR="00566035" w:rsidRDefault="00566035" w:rsidP="0095675E">
      <w:pPr>
        <w:ind w:left="360" w:right="-64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ประกาศ</w:t>
      </w: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คณะกรรมการกำกับตลาดทุน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ที่ ทธ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>.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43/2552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เรื่อง</w:t>
      </w:r>
      <w:r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การดูแลทรัพย์สินของลูกค้าของบริษัทหลักทรัพย์</w:t>
      </w:r>
    </w:p>
    <w:p w:rsidR="00D00099" w:rsidRPr="00F56266" w:rsidRDefault="00D00099" w:rsidP="00D00099">
      <w:pPr>
        <w:numPr>
          <w:ilvl w:val="0"/>
          <w:numId w:val="14"/>
        </w:numPr>
        <w:spacing w:line="276" w:lineRule="auto"/>
        <w:jc w:val="thaiDistribute"/>
        <w:rPr>
          <w:rFonts w:ascii="DilleniaUPC" w:eastAsia="Calibri" w:hAnsi="DilleniaUPC" w:cs="DilleniaUPC" w:hint="cs"/>
          <w:sz w:val="32"/>
          <w:szCs w:val="32"/>
          <w:lang w:eastAsia="en-US"/>
        </w:rPr>
      </w:pPr>
      <w:r w:rsidRPr="00F5626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สมาชิกสมาคม</w:t>
      </w:r>
      <w:r w:rsidRPr="00F56266">
        <w:rPr>
          <w:rFonts w:ascii="DilleniaUPC" w:eastAsia="Calibri" w:hAnsi="DilleniaUPC" w:cs="DilleniaUPC"/>
          <w:sz w:val="32"/>
          <w:szCs w:val="32"/>
          <w:cs/>
          <w:lang w:eastAsia="en-US"/>
        </w:rPr>
        <w:t>จะต้องกำหนดนโยบายการแยกทรัพย์สิน</w:t>
      </w:r>
      <w:r w:rsidRPr="00F5626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Pr="00F56266">
        <w:rPr>
          <w:rFonts w:ascii="DilleniaUPC" w:eastAsia="Calibri" w:hAnsi="DilleniaUPC" w:cs="DilleniaUPC"/>
          <w:sz w:val="32"/>
          <w:szCs w:val="32"/>
          <w:cs/>
          <w:lang w:eastAsia="en-US"/>
        </w:rPr>
        <w:t>ของลูกค้าอย่างใดอย่างหนึ่ง</w:t>
      </w:r>
      <w:r w:rsidR="00F56266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F5626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และ</w:t>
      </w:r>
      <w:r w:rsidRPr="00F5626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ควรกำหนด</w:t>
      </w:r>
      <w:r w:rsidRPr="00F56266">
        <w:rPr>
          <w:rFonts w:ascii="DilleniaUPC" w:eastAsia="Calibri" w:hAnsi="DilleniaUPC" w:cs="DilleniaUPC"/>
          <w:sz w:val="32"/>
          <w:szCs w:val="32"/>
          <w:cs/>
          <w:lang w:eastAsia="en-US"/>
        </w:rPr>
        <w:t>วิธีการปฏิบัติ</w:t>
      </w:r>
      <w:r w:rsidRPr="00F56266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ในการแยกทรัพย์สินประเภทเงินของลูกค้า</w:t>
      </w:r>
      <w:r w:rsidRPr="00F56266">
        <w:rPr>
          <w:rFonts w:ascii="DilleniaUPC" w:eastAsia="Calibri" w:hAnsi="DilleniaUPC" w:cs="DilleniaUPC"/>
          <w:sz w:val="32"/>
          <w:szCs w:val="32"/>
          <w:cs/>
          <w:lang w:eastAsia="en-US"/>
        </w:rPr>
        <w:t>ที่ชัดเจนและสอบทานได้</w:t>
      </w:r>
    </w:p>
    <w:p w:rsidR="00CD39C2" w:rsidRPr="00CD39C2" w:rsidRDefault="00CD39C2" w:rsidP="00AE2659">
      <w:pPr>
        <w:numPr>
          <w:ilvl w:val="0"/>
          <w:numId w:val="14"/>
        </w:numPr>
        <w:spacing w:line="276" w:lineRule="auto"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หาก</w:t>
      </w:r>
      <w:r w:rsidR="00CC5485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สมาชิกสมาคม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เลือกแนวทางการแยกทรัพย์สิน</w:t>
      </w:r>
      <w:r w:rsidR="005D4498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ของลูกค้า</w:t>
      </w:r>
      <w:r w:rsidR="005D4498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ณ สิ้นวันทำการก่อน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</w:t>
      </w:r>
      <w:r w:rsidR="005D4498">
        <w:rPr>
          <w:rFonts w:ascii="DilleniaUPC" w:eastAsia="Calibri" w:hAnsi="DilleniaUPC" w:cs="DilleniaUPC"/>
          <w:sz w:val="32"/>
          <w:szCs w:val="32"/>
          <w:lang w:eastAsia="en-US"/>
        </w:rPr>
        <w:t>(T-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>1)</w:t>
      </w:r>
    </w:p>
    <w:p w:rsidR="00BB599F" w:rsidRDefault="00CD39C2" w:rsidP="00BB599F">
      <w:pPr>
        <w:spacing w:line="276" w:lineRule="auto"/>
        <w:ind w:left="426" w:firstLine="644"/>
        <w:contextualSpacing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กรณีที่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บริษัท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ทราบจำนวนเงินที่ลูกค้านำมาฝาก</w:t>
      </w:r>
      <w:r w:rsidR="00C370F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เพื่อชำระราคาค่าซื้อหลักทรัพย์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ไว้กับ</w:t>
      </w:r>
      <w:r w:rsidR="00DC4E9A">
        <w:rPr>
          <w:rFonts w:ascii="DilleniaUPC" w:eastAsia="Calibri" w:hAnsi="DilleniaUPC" w:cs="DilleniaUPC"/>
          <w:sz w:val="32"/>
          <w:szCs w:val="32"/>
          <w:cs/>
          <w:lang w:eastAsia="en-US"/>
        </w:rPr>
        <w:t>บริษัทล่วงหน้า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 บริษัท</w:t>
      </w:r>
      <w:r w:rsidR="00BB599F">
        <w:rPr>
          <w:rFonts w:ascii="DilleniaUPC" w:eastAsia="Calibri" w:hAnsi="DilleniaUPC" w:cs="DilleniaUPC"/>
          <w:sz w:val="32"/>
          <w:szCs w:val="32"/>
          <w:cs/>
          <w:lang w:eastAsia="en-US"/>
        </w:rPr>
        <w:t>สามารถบันท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ืก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บัญชีแยกทรัพย์สิน</w:t>
      </w:r>
      <w:r w:rsidR="001064F2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ของลูกค้า</w:t>
      </w:r>
      <w:r w:rsidR="005D4498">
        <w:rPr>
          <w:rFonts w:ascii="DilleniaUPC" w:eastAsia="Calibri" w:hAnsi="DilleniaUPC" w:cs="DilleniaUPC"/>
          <w:sz w:val="32"/>
          <w:szCs w:val="32"/>
          <w:lang w:eastAsia="en-US"/>
        </w:rPr>
        <w:t xml:space="preserve"> </w:t>
      </w:r>
      <w:r w:rsidR="005D4498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ณ สิ้นวันทำการปัจจุบัน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(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T) 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ได้  โดยบริษัท</w:t>
      </w:r>
      <w:r w:rsidR="001064F2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ต้อง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กำหนดนโยบายยอดฝากขั้นต่ำสำหรับกรณีนี้เป็นจำนวนเงินตั้งแต่ 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 xml:space="preserve">10 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ล้านบาทขึ้นไป และมีวิธีปฏิบัติที่ชัดเจน  ทั้งนี้ จำนวนเงินฝากต้องไม่ต่ำกว่านโยบายจำนวนเงินที่กำหนดข้างต้น  และทรัพย์สินจำนวนดังกล่าวเมื่อลูกค้าถอนเงินหรือนำไปชำระราคาค่าซื้อหลักทรัพย์ บริษัทไม่ต้องนำเงินส่วนนี้ไปคำนวณเพื่อทำการแยกทรัพย์สินประเภทเงินของลูกค้าในวันที่ทำการชำระราคา</w:t>
      </w:r>
    </w:p>
    <w:p w:rsidR="00CC5485" w:rsidRDefault="00CC5485" w:rsidP="00BB599F">
      <w:pPr>
        <w:spacing w:line="276" w:lineRule="auto"/>
        <w:ind w:left="426" w:firstLine="644"/>
        <w:contextualSpacing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</w:p>
    <w:p w:rsidR="00CC5485" w:rsidRDefault="00CC5485" w:rsidP="00BB599F">
      <w:pPr>
        <w:spacing w:line="276" w:lineRule="auto"/>
        <w:ind w:left="426" w:firstLine="644"/>
        <w:contextualSpacing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</w:p>
    <w:p w:rsidR="00CD39C2" w:rsidRPr="00CD39C2" w:rsidRDefault="00CD39C2" w:rsidP="00BB599F">
      <w:pPr>
        <w:numPr>
          <w:ilvl w:val="0"/>
          <w:numId w:val="14"/>
        </w:numPr>
        <w:spacing w:line="276" w:lineRule="auto"/>
        <w:contextualSpacing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lastRenderedPageBreak/>
        <w:t>หาก</w:t>
      </w:r>
      <w:r w:rsidR="00CC5485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สมาชิกสมาคม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เลือกแนวทางการแยก</w:t>
      </w:r>
      <w:r w:rsidR="00CC5485">
        <w:rPr>
          <w:rFonts w:ascii="DilleniaUPC" w:eastAsia="Calibri" w:hAnsi="DilleniaUPC" w:cs="DilleniaUPC"/>
          <w:sz w:val="32"/>
          <w:szCs w:val="32"/>
          <w:cs/>
          <w:lang w:eastAsia="en-US"/>
        </w:rPr>
        <w:t>ทรัพย์สินประเภทเงินของลูกค้า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ณ สิ้นวันทำการ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ปัจจุบัน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(</w:t>
      </w:r>
      <w:r w:rsidRPr="00CD39C2">
        <w:rPr>
          <w:rFonts w:ascii="DilleniaUPC" w:eastAsia="Calibri" w:hAnsi="DilleniaUPC" w:cs="DilleniaUPC"/>
          <w:sz w:val="32"/>
          <w:szCs w:val="32"/>
          <w:lang w:eastAsia="en-US"/>
        </w:rPr>
        <w:t>T</w:t>
      </w:r>
      <w:r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)</w:t>
      </w:r>
    </w:p>
    <w:p w:rsidR="00CD39C2" w:rsidRPr="006A3C61" w:rsidRDefault="00DC4E9A" w:rsidP="004F14FD">
      <w:pPr>
        <w:tabs>
          <w:tab w:val="left" w:pos="1701"/>
        </w:tabs>
        <w:spacing w:after="240"/>
        <w:ind w:left="426" w:firstLine="567"/>
        <w:jc w:val="thaiDistribute"/>
        <w:rPr>
          <w:rFonts w:ascii="DilleniaUPC" w:eastAsia="Calibri" w:hAnsi="DilleniaUPC" w:cs="DilleniaUPC"/>
          <w:sz w:val="32"/>
          <w:szCs w:val="32"/>
          <w:lang w:eastAsia="en-US"/>
        </w:rPr>
      </w:pPr>
      <w:r w:rsidRPr="00DC4E9A">
        <w:rPr>
          <w:rFonts w:ascii="DilleniaUPC" w:hAnsi="DilleniaUPC" w:cs="DilleniaUPC"/>
          <w:sz w:val="32"/>
          <w:szCs w:val="32"/>
          <w:cs/>
        </w:rPr>
        <w:t>บริษัทสามารถแยก</w:t>
      </w:r>
      <w:r w:rsidR="00CC5485">
        <w:rPr>
          <w:rFonts w:ascii="DilleniaUPC" w:hAnsi="DilleniaUPC" w:cs="DilleniaUPC"/>
          <w:sz w:val="32"/>
          <w:szCs w:val="32"/>
          <w:cs/>
        </w:rPr>
        <w:t>ทรัพย์สินประเภทเงินของลูกค้า</w:t>
      </w:r>
      <w:r w:rsidRPr="00DC4E9A">
        <w:rPr>
          <w:rFonts w:ascii="DilleniaUPC" w:hAnsi="DilleniaUPC" w:cs="DilleniaUPC"/>
          <w:sz w:val="32"/>
          <w:szCs w:val="32"/>
          <w:cs/>
        </w:rPr>
        <w:t>โดยใช้เวลา 16.30 น. เป็นเวลา ณ สิ้นวันทำการปัจจุบัน</w:t>
      </w:r>
      <w:r w:rsidR="004F14FD">
        <w:rPr>
          <w:rFonts w:ascii="DilleniaUPC" w:hAnsi="DilleniaUPC" w:cs="DilleniaUPC"/>
          <w:sz w:val="32"/>
          <w:szCs w:val="32"/>
        </w:rPr>
        <w:t xml:space="preserve"> </w:t>
      </w:r>
      <w:r w:rsidR="004F14FD">
        <w:rPr>
          <w:rFonts w:ascii="DilleniaUPC" w:hAnsi="DilleniaUPC" w:cs="DilleniaUPC" w:hint="cs"/>
          <w:sz w:val="32"/>
          <w:szCs w:val="32"/>
          <w:cs/>
        </w:rPr>
        <w:t>ในกรณี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ที่ลูกค้าฝากเงินในวันที่ </w:t>
      </w:r>
      <w:r w:rsidR="00CD39C2" w:rsidRPr="00CD39C2">
        <w:rPr>
          <w:rFonts w:ascii="DilleniaUPC" w:eastAsia="Calibri" w:hAnsi="DilleniaUPC" w:cs="DilleniaUPC"/>
          <w:sz w:val="32"/>
          <w:szCs w:val="32"/>
          <w:lang w:eastAsia="en-US"/>
        </w:rPr>
        <w:t>T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ภาย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ใน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ไม่เกิน </w:t>
      </w:r>
      <w:r w:rsidR="00CD39C2" w:rsidRPr="00CD39C2">
        <w:rPr>
          <w:rFonts w:ascii="DilleniaUPC" w:eastAsia="Calibri" w:hAnsi="DilleniaUPC" w:cs="DilleniaUPC"/>
          <w:sz w:val="32"/>
          <w:szCs w:val="32"/>
          <w:lang w:eastAsia="en-US"/>
        </w:rPr>
        <w:t>16.30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น.  </w:t>
      </w:r>
      <w:r w:rsidR="004F14FD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ให้บริษัท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บันทึกบัญชีให้ลูกค้าในวันที่ฝาก</w:t>
      </w:r>
      <w:r w:rsidR="004F14FD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และแยกทรัพย์สิน</w:t>
      </w:r>
      <w:r w:rsidR="004F14FD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ของลูกค้า ณ สิ้น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>วันทำการ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ปัจจุบัน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สำหรับกรณีที่ลูกค้าฝากเงินมายังบริษัท</w:t>
      </w:r>
      <w:r w:rsidR="00BB599F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ภายห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ลัง </w:t>
      </w:r>
      <w:r w:rsidR="00CD39C2" w:rsidRPr="00CD39C2">
        <w:rPr>
          <w:rFonts w:ascii="DilleniaUPC" w:eastAsia="Calibri" w:hAnsi="DilleniaUPC" w:cs="DilleniaUPC"/>
          <w:sz w:val="32"/>
          <w:szCs w:val="32"/>
          <w:lang w:eastAsia="en-US"/>
        </w:rPr>
        <w:t>16.30</w:t>
      </w:r>
      <w:r w:rsidR="00CD39C2" w:rsidRPr="00CD39C2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น. ให้</w:t>
      </w:r>
      <w:r w:rsidR="004F14FD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บริษัท</w:t>
      </w:r>
      <w:r w:rsidR="00CD39C2" w:rsidRPr="006A3C61">
        <w:rPr>
          <w:rFonts w:ascii="DilleniaUPC" w:eastAsia="Calibri" w:hAnsi="DilleniaUPC" w:cs="DilleniaUPC"/>
          <w:sz w:val="32"/>
          <w:szCs w:val="32"/>
          <w:cs/>
          <w:lang w:eastAsia="en-US"/>
        </w:rPr>
        <w:t>บันทึกบัญชีให้ลูกค้าในวันที่ฝาก</w:t>
      </w:r>
      <w:r w:rsidR="00BB599F" w:rsidRPr="006A3C61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 xml:space="preserve"> </w:t>
      </w:r>
      <w:r w:rsidR="00CD39C2" w:rsidRPr="006A3C61">
        <w:rPr>
          <w:rFonts w:ascii="DilleniaUPC" w:eastAsia="Calibri" w:hAnsi="DilleniaUPC" w:cs="DilleniaUPC"/>
          <w:sz w:val="32"/>
          <w:szCs w:val="32"/>
          <w:cs/>
          <w:lang w:eastAsia="en-US"/>
        </w:rPr>
        <w:t>แต่</w:t>
      </w:r>
      <w:r w:rsidR="00BB599F" w:rsidRPr="006A3C61">
        <w:rPr>
          <w:rFonts w:ascii="DilleniaUPC" w:eastAsia="Calibri" w:hAnsi="DilleniaUPC" w:cs="DilleniaUPC"/>
          <w:sz w:val="32"/>
          <w:szCs w:val="32"/>
          <w:cs/>
          <w:lang w:eastAsia="en-US"/>
        </w:rPr>
        <w:t>แยกทรัพย์สิน</w:t>
      </w:r>
      <w:r w:rsidR="004F14FD" w:rsidRPr="006A3C61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ประเภทเงิน</w:t>
      </w:r>
      <w:r w:rsidR="00BB599F" w:rsidRPr="006A3C61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ของลูกค้า ณ สิ้น</w:t>
      </w:r>
      <w:r w:rsidR="00CD39C2" w:rsidRPr="006A3C61">
        <w:rPr>
          <w:rFonts w:ascii="DilleniaUPC" w:eastAsia="Calibri" w:hAnsi="DilleniaUPC" w:cs="DilleniaUPC"/>
          <w:sz w:val="32"/>
          <w:szCs w:val="32"/>
          <w:cs/>
          <w:lang w:eastAsia="en-US"/>
        </w:rPr>
        <w:t>วันทำการ</w:t>
      </w:r>
      <w:r w:rsidR="00BB599F" w:rsidRPr="006A3C61">
        <w:rPr>
          <w:rFonts w:ascii="DilleniaUPC" w:eastAsia="Calibri" w:hAnsi="DilleniaUPC" w:cs="DilleniaUPC" w:hint="cs"/>
          <w:sz w:val="32"/>
          <w:szCs w:val="32"/>
          <w:cs/>
          <w:lang w:eastAsia="en-US"/>
        </w:rPr>
        <w:t>ก่อน</w:t>
      </w:r>
      <w:r w:rsidR="00CD39C2" w:rsidRPr="006A3C61">
        <w:rPr>
          <w:rFonts w:ascii="DilleniaUPC" w:eastAsia="Calibri" w:hAnsi="DilleniaUPC" w:cs="DilleniaUPC"/>
          <w:sz w:val="32"/>
          <w:szCs w:val="32"/>
          <w:cs/>
          <w:lang w:eastAsia="en-US"/>
        </w:rPr>
        <w:t xml:space="preserve"> (</w:t>
      </w:r>
      <w:r w:rsidR="00CD39C2" w:rsidRPr="006A3C61">
        <w:rPr>
          <w:rFonts w:ascii="DilleniaUPC" w:eastAsia="Calibri" w:hAnsi="DilleniaUPC" w:cs="DilleniaUPC"/>
          <w:sz w:val="32"/>
          <w:szCs w:val="32"/>
          <w:lang w:eastAsia="en-US"/>
        </w:rPr>
        <w:t>T</w:t>
      </w:r>
      <w:r w:rsidR="00BB599F" w:rsidRPr="006A3C61">
        <w:rPr>
          <w:rFonts w:ascii="DilleniaUPC" w:eastAsia="Calibri" w:hAnsi="DilleniaUPC" w:cs="DilleniaUPC"/>
          <w:sz w:val="32"/>
          <w:szCs w:val="32"/>
          <w:lang w:eastAsia="en-US"/>
        </w:rPr>
        <w:t>-</w:t>
      </w:r>
      <w:r w:rsidR="00CD39C2" w:rsidRPr="006A3C61">
        <w:rPr>
          <w:rFonts w:ascii="DilleniaUPC" w:eastAsia="Calibri" w:hAnsi="DilleniaUPC" w:cs="DilleniaUPC"/>
          <w:sz w:val="32"/>
          <w:szCs w:val="32"/>
          <w:lang w:eastAsia="en-US"/>
        </w:rPr>
        <w:t>1)</w:t>
      </w:r>
    </w:p>
    <w:p w:rsidR="00AE2659" w:rsidRPr="006A3C61" w:rsidRDefault="00AE2659" w:rsidP="00AE2659">
      <w:pPr>
        <w:ind w:right="-64" w:firstLine="720"/>
        <w:contextualSpacing/>
        <w:rPr>
          <w:rFonts w:ascii="DilleniaUPC" w:eastAsia="Calibri" w:hAnsi="DilleniaUPC" w:cs="DilleniaUPC"/>
          <w:sz w:val="30"/>
          <w:szCs w:val="30"/>
          <w:cs/>
          <w:lang w:eastAsia="en-US"/>
        </w:rPr>
      </w:pPr>
      <w:r w:rsidRPr="006A3C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แนวทางการปฏิบัติงาน</w:t>
      </w:r>
      <w:r w:rsidRPr="006A3C61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นี้มีผลบังคับตั้งแต่</w:t>
      </w:r>
      <w:r w:rsidR="006A3C61" w:rsidRPr="006A3C6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วันที่ประกาศ</w:t>
      </w:r>
      <w:r w:rsidRPr="006A3C61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:rsidR="00AE2659" w:rsidRPr="006A3C61" w:rsidRDefault="00AE2659" w:rsidP="00AE265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E2659" w:rsidRPr="006A3C61" w:rsidRDefault="00AE2659" w:rsidP="00AE265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E2659" w:rsidRPr="006A3C61" w:rsidRDefault="00AE2659" w:rsidP="00AE265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E2659" w:rsidRPr="006A3C61" w:rsidRDefault="00AE2659" w:rsidP="00AE2659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6A3C6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6A3C6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6A3C61" w:rsidRPr="006A3C6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27</w:t>
      </w:r>
      <w:r w:rsidRPr="006A3C61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 xml:space="preserve"> สิงหาคม</w:t>
      </w:r>
      <w:r w:rsidRPr="006A3C61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2556</w:t>
      </w:r>
    </w:p>
    <w:p w:rsidR="00AE2659" w:rsidRPr="00AE2659" w:rsidRDefault="00AE2659" w:rsidP="00AE2659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AE265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AE265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:rsidR="00AE2659" w:rsidRPr="00AE2659" w:rsidRDefault="00AE2659" w:rsidP="00AE265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</w:rPr>
      </w:pPr>
    </w:p>
    <w:p w:rsidR="00AE2659" w:rsidRPr="00AE2659" w:rsidRDefault="00AE2659" w:rsidP="00AE265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30"/>
          <w:szCs w:val="30"/>
          <w:cs/>
        </w:rPr>
      </w:pPr>
    </w:p>
    <w:p w:rsidR="00AE2659" w:rsidRPr="00AE2659" w:rsidRDefault="00AE2659" w:rsidP="00AE2659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AE2659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(นางภัทธีรา  ดิลกรุ่งธีระภพ)</w:t>
      </w:r>
    </w:p>
    <w:p w:rsidR="00AE2659" w:rsidRPr="00AE2659" w:rsidRDefault="00AE2659" w:rsidP="00AE2659">
      <w:pPr>
        <w:tabs>
          <w:tab w:val="left" w:pos="567"/>
          <w:tab w:val="center" w:pos="5812"/>
        </w:tabs>
        <w:spacing w:line="340" w:lineRule="exact"/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AE265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AE265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AE265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AE2659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:rsidR="00AE2659" w:rsidRPr="00AE2659" w:rsidRDefault="00AE2659" w:rsidP="00AE2659">
      <w:pPr>
        <w:ind w:right="120"/>
        <w:rPr>
          <w:rFonts w:ascii="DilleniaUPC" w:eastAsia="Times New Roman" w:hAnsi="DilleniaUPC" w:cs="DilleniaUPC"/>
          <w:sz w:val="30"/>
          <w:szCs w:val="30"/>
          <w:lang w:eastAsia="en-US"/>
        </w:rPr>
      </w:pPr>
    </w:p>
    <w:p w:rsidR="00D33589" w:rsidRPr="00450CBD" w:rsidRDefault="00D33589" w:rsidP="00AE2659">
      <w:pPr>
        <w:ind w:left="720" w:right="16" w:firstLine="720"/>
        <w:jc w:val="both"/>
        <w:rPr>
          <w:rFonts w:cs="DilleniaUPC"/>
          <w:sz w:val="30"/>
          <w:szCs w:val="30"/>
        </w:rPr>
      </w:pPr>
    </w:p>
    <w:sectPr w:rsidR="00D33589" w:rsidRPr="00450CBD" w:rsidSect="00DD1FCB">
      <w:headerReference w:type="even" r:id="rId9"/>
      <w:headerReference w:type="default" r:id="rId10"/>
      <w:footerReference w:type="first" r:id="rId11"/>
      <w:pgSz w:w="11906" w:h="16838"/>
      <w:pgMar w:top="851" w:right="1274" w:bottom="8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2E" w:rsidRDefault="00FE342E">
      <w:r>
        <w:separator/>
      </w:r>
    </w:p>
  </w:endnote>
  <w:endnote w:type="continuationSeparator" w:id="0">
    <w:p w:rsidR="00FE342E" w:rsidRDefault="00F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C" w:rsidRPr="00471F9C" w:rsidRDefault="004922B3">
    <w:pPr>
      <w:ind w:right="260"/>
      <w:rPr>
        <w:color w:val="0F243E"/>
        <w:sz w:val="26"/>
        <w:szCs w:val="2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6882130</wp:posOffset>
              </wp:positionH>
              <wp:positionV relativeFrom="page">
                <wp:posOffset>9943465</wp:posOffset>
              </wp:positionV>
              <wp:extent cx="3938270" cy="28130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C" w:rsidRPr="00471F9C" w:rsidRDefault="00471F9C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922B3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471F9C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9pt;margin-top:782.95pt;width:310.1pt;height:22.15pt;z-index:251657728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" stroked="f" strokeweight=".5pt">
              <v:textbox style="mso-fit-shape-to-text:t" inset="0,,0">
                <w:txbxContent>
                  <w:p w:rsidR="00471F9C" w:rsidRPr="00471F9C" w:rsidRDefault="00471F9C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4922B3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471F9C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4184" w:rsidRPr="00471F9C" w:rsidRDefault="00471F9C" w:rsidP="00471F9C">
    <w:pPr>
      <w:pStyle w:val="Footer"/>
      <w:ind w:right="-86"/>
      <w:jc w:val="right"/>
      <w:rPr>
        <w:rFonts w:ascii="DilleniaUPC" w:hAnsi="DilleniaUPC" w:cs="DilleniaUPC"/>
        <w:sz w:val="30"/>
        <w:szCs w:val="30"/>
        <w:cs/>
      </w:rPr>
    </w:pPr>
    <w:r w:rsidRPr="00471F9C">
      <w:rPr>
        <w:rFonts w:ascii="DilleniaUPC" w:hAnsi="DilleniaUPC" w:cs="DilleniaUPC"/>
        <w:sz w:val="30"/>
        <w:szCs w:val="30"/>
        <w:cs/>
      </w:rPr>
      <w:t>การ</w:t>
    </w:r>
    <w:r w:rsidR="001064F2">
      <w:rPr>
        <w:rFonts w:ascii="DilleniaUPC" w:hAnsi="DilleniaUPC" w:cs="DilleniaUPC" w:hint="cs"/>
        <w:sz w:val="30"/>
        <w:szCs w:val="30"/>
        <w:cs/>
      </w:rPr>
      <w:t>แยกทรัพย์สินประเภทเงินของลูกค้า</w:t>
    </w:r>
    <w:r w:rsidRPr="00471F9C">
      <w:rPr>
        <w:rFonts w:ascii="DilleniaUPC" w:hAnsi="DilleniaUPC" w:cs="DilleniaUPC"/>
        <w:sz w:val="30"/>
        <w:szCs w:val="30"/>
        <w:cs/>
      </w:rPr>
      <w:t xml:space="preserve"> หน้า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2E" w:rsidRDefault="00FE342E">
      <w:r>
        <w:separator/>
      </w:r>
    </w:p>
  </w:footnote>
  <w:footnote w:type="continuationSeparator" w:id="0">
    <w:p w:rsidR="00FE342E" w:rsidRDefault="00FE3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97" w:rsidRDefault="00E31797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31797" w:rsidRDefault="00E31797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97" w:rsidRPr="008E591E" w:rsidRDefault="00E31797" w:rsidP="008E591E">
    <w:pPr>
      <w:pStyle w:val="Header"/>
      <w:framePr w:wrap="around" w:vAnchor="text" w:hAnchor="page" w:x="10261" w:y="1"/>
      <w:rPr>
        <w:rStyle w:val="PageNumber"/>
        <w:rFonts w:cs="DilleniaUPC"/>
        <w:sz w:val="30"/>
        <w:szCs w:val="30"/>
      </w:rPr>
    </w:pPr>
    <w:r w:rsidRPr="008E591E">
      <w:rPr>
        <w:rStyle w:val="PageNumber"/>
        <w:rFonts w:cs="DilleniaUPC"/>
        <w:sz w:val="30"/>
        <w:szCs w:val="30"/>
        <w:cs/>
      </w:rPr>
      <w:fldChar w:fldCharType="begin"/>
    </w:r>
    <w:r w:rsidRPr="008E591E">
      <w:rPr>
        <w:rStyle w:val="PageNumber"/>
        <w:rFonts w:cs="DilleniaUPC"/>
        <w:sz w:val="30"/>
        <w:szCs w:val="30"/>
      </w:rPr>
      <w:instrText xml:space="preserve">PAGE  </w:instrText>
    </w:r>
    <w:r w:rsidRPr="008E591E">
      <w:rPr>
        <w:rStyle w:val="PageNumber"/>
        <w:rFonts w:cs="DilleniaUPC"/>
        <w:sz w:val="30"/>
        <w:szCs w:val="30"/>
        <w:cs/>
      </w:rPr>
      <w:fldChar w:fldCharType="separate"/>
    </w:r>
    <w:r w:rsidR="004922B3">
      <w:rPr>
        <w:rStyle w:val="PageNumber"/>
        <w:rFonts w:cs="DilleniaUPC"/>
        <w:noProof/>
        <w:sz w:val="30"/>
        <w:szCs w:val="30"/>
        <w:cs/>
      </w:rPr>
      <w:t>2</w:t>
    </w:r>
    <w:r w:rsidRPr="008E591E">
      <w:rPr>
        <w:rStyle w:val="PageNumber"/>
        <w:rFonts w:cs="DilleniaUPC"/>
        <w:sz w:val="30"/>
        <w:szCs w:val="30"/>
        <w:cs/>
      </w:rPr>
      <w:fldChar w:fldCharType="end"/>
    </w:r>
  </w:p>
  <w:p w:rsidR="00E31797" w:rsidRDefault="00E31797" w:rsidP="008E59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2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7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1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2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3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1"/>
    <w:rsid w:val="00014216"/>
    <w:rsid w:val="00020393"/>
    <w:rsid w:val="00022F26"/>
    <w:rsid w:val="0002561B"/>
    <w:rsid w:val="00065C4C"/>
    <w:rsid w:val="00066F75"/>
    <w:rsid w:val="000702E1"/>
    <w:rsid w:val="000774FD"/>
    <w:rsid w:val="0008028C"/>
    <w:rsid w:val="00093918"/>
    <w:rsid w:val="00097805"/>
    <w:rsid w:val="000E05C7"/>
    <w:rsid w:val="000E6BA0"/>
    <w:rsid w:val="001064F2"/>
    <w:rsid w:val="00111919"/>
    <w:rsid w:val="00142BAA"/>
    <w:rsid w:val="001523EF"/>
    <w:rsid w:val="001C1A4E"/>
    <w:rsid w:val="001C7271"/>
    <w:rsid w:val="001E1F37"/>
    <w:rsid w:val="002106B3"/>
    <w:rsid w:val="0023443D"/>
    <w:rsid w:val="00250021"/>
    <w:rsid w:val="00260A99"/>
    <w:rsid w:val="00263532"/>
    <w:rsid w:val="00290255"/>
    <w:rsid w:val="002A034F"/>
    <w:rsid w:val="002F28B9"/>
    <w:rsid w:val="00333619"/>
    <w:rsid w:val="0036096E"/>
    <w:rsid w:val="00364939"/>
    <w:rsid w:val="00365F35"/>
    <w:rsid w:val="00367191"/>
    <w:rsid w:val="003733BA"/>
    <w:rsid w:val="00375CBC"/>
    <w:rsid w:val="003909A5"/>
    <w:rsid w:val="003A0470"/>
    <w:rsid w:val="003C2EE1"/>
    <w:rsid w:val="003C3106"/>
    <w:rsid w:val="003C649E"/>
    <w:rsid w:val="00402A02"/>
    <w:rsid w:val="00433974"/>
    <w:rsid w:val="00433BB3"/>
    <w:rsid w:val="004351CE"/>
    <w:rsid w:val="00450CBD"/>
    <w:rsid w:val="00455EA6"/>
    <w:rsid w:val="004602E1"/>
    <w:rsid w:val="00471F9C"/>
    <w:rsid w:val="004922B3"/>
    <w:rsid w:val="004A25E9"/>
    <w:rsid w:val="004A5C96"/>
    <w:rsid w:val="004B0AF2"/>
    <w:rsid w:val="004B508E"/>
    <w:rsid w:val="004B5387"/>
    <w:rsid w:val="004E35AD"/>
    <w:rsid w:val="004E5661"/>
    <w:rsid w:val="004F02A2"/>
    <w:rsid w:val="004F14FD"/>
    <w:rsid w:val="00505526"/>
    <w:rsid w:val="00522442"/>
    <w:rsid w:val="00530E32"/>
    <w:rsid w:val="00535B3D"/>
    <w:rsid w:val="00566035"/>
    <w:rsid w:val="005879E9"/>
    <w:rsid w:val="00591BC1"/>
    <w:rsid w:val="00592AAA"/>
    <w:rsid w:val="00593DAB"/>
    <w:rsid w:val="005D4498"/>
    <w:rsid w:val="005F3B8F"/>
    <w:rsid w:val="005F4C49"/>
    <w:rsid w:val="0061137A"/>
    <w:rsid w:val="00625B2E"/>
    <w:rsid w:val="006762C7"/>
    <w:rsid w:val="006A3C61"/>
    <w:rsid w:val="006F282A"/>
    <w:rsid w:val="006F7F93"/>
    <w:rsid w:val="00703D12"/>
    <w:rsid w:val="00720AD3"/>
    <w:rsid w:val="00794561"/>
    <w:rsid w:val="007B33E9"/>
    <w:rsid w:val="007C0D7D"/>
    <w:rsid w:val="007F1439"/>
    <w:rsid w:val="007F23F9"/>
    <w:rsid w:val="007F321D"/>
    <w:rsid w:val="0085170C"/>
    <w:rsid w:val="0085780E"/>
    <w:rsid w:val="0087727F"/>
    <w:rsid w:val="008928E9"/>
    <w:rsid w:val="008A7A00"/>
    <w:rsid w:val="008B2A87"/>
    <w:rsid w:val="008C359B"/>
    <w:rsid w:val="008E0600"/>
    <w:rsid w:val="008E591E"/>
    <w:rsid w:val="00915477"/>
    <w:rsid w:val="00931BFF"/>
    <w:rsid w:val="0093476E"/>
    <w:rsid w:val="0095675E"/>
    <w:rsid w:val="00962188"/>
    <w:rsid w:val="00964D74"/>
    <w:rsid w:val="0096671F"/>
    <w:rsid w:val="00966F72"/>
    <w:rsid w:val="00997A0F"/>
    <w:rsid w:val="009D2977"/>
    <w:rsid w:val="009F1E9D"/>
    <w:rsid w:val="00A00017"/>
    <w:rsid w:val="00A02C44"/>
    <w:rsid w:val="00A30A75"/>
    <w:rsid w:val="00A358BE"/>
    <w:rsid w:val="00A40D68"/>
    <w:rsid w:val="00A510CA"/>
    <w:rsid w:val="00A80FE9"/>
    <w:rsid w:val="00A8165E"/>
    <w:rsid w:val="00AB6163"/>
    <w:rsid w:val="00AD2419"/>
    <w:rsid w:val="00AE2659"/>
    <w:rsid w:val="00AF08CC"/>
    <w:rsid w:val="00B421AF"/>
    <w:rsid w:val="00B444E7"/>
    <w:rsid w:val="00B47B50"/>
    <w:rsid w:val="00B721DD"/>
    <w:rsid w:val="00B96869"/>
    <w:rsid w:val="00BA1271"/>
    <w:rsid w:val="00BB599F"/>
    <w:rsid w:val="00C01373"/>
    <w:rsid w:val="00C21487"/>
    <w:rsid w:val="00C370FF"/>
    <w:rsid w:val="00C3722D"/>
    <w:rsid w:val="00C657A6"/>
    <w:rsid w:val="00C7258B"/>
    <w:rsid w:val="00C77B8C"/>
    <w:rsid w:val="00CC5485"/>
    <w:rsid w:val="00CD39C2"/>
    <w:rsid w:val="00CE2F92"/>
    <w:rsid w:val="00CF5C0E"/>
    <w:rsid w:val="00D00099"/>
    <w:rsid w:val="00D229B0"/>
    <w:rsid w:val="00D23AD2"/>
    <w:rsid w:val="00D2751B"/>
    <w:rsid w:val="00D33589"/>
    <w:rsid w:val="00D34858"/>
    <w:rsid w:val="00D35F70"/>
    <w:rsid w:val="00D430B5"/>
    <w:rsid w:val="00D5679C"/>
    <w:rsid w:val="00D603DD"/>
    <w:rsid w:val="00D61041"/>
    <w:rsid w:val="00DA2D10"/>
    <w:rsid w:val="00DB2BEE"/>
    <w:rsid w:val="00DC4E9A"/>
    <w:rsid w:val="00DD1FCB"/>
    <w:rsid w:val="00DD3433"/>
    <w:rsid w:val="00DD4184"/>
    <w:rsid w:val="00DF1D49"/>
    <w:rsid w:val="00E26EB4"/>
    <w:rsid w:val="00E31797"/>
    <w:rsid w:val="00E40E0F"/>
    <w:rsid w:val="00E4596F"/>
    <w:rsid w:val="00E502EA"/>
    <w:rsid w:val="00E76FAA"/>
    <w:rsid w:val="00EB292C"/>
    <w:rsid w:val="00ED1174"/>
    <w:rsid w:val="00ED772B"/>
    <w:rsid w:val="00F02AE9"/>
    <w:rsid w:val="00F32E23"/>
    <w:rsid w:val="00F33B94"/>
    <w:rsid w:val="00F56266"/>
    <w:rsid w:val="00F757DC"/>
    <w:rsid w:val="00FA3B8C"/>
    <w:rsid w:val="00FB1B35"/>
    <w:rsid w:val="00FC03C4"/>
    <w:rsid w:val="00FC555F"/>
    <w:rsid w:val="00FE0655"/>
    <w:rsid w:val="00FE342E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rsid w:val="008E591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rsid w:val="008E591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72AE-CC86-471D-84EE-5D93B0D9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2012-11-14T02:25:00Z</cp:lastPrinted>
  <dcterms:created xsi:type="dcterms:W3CDTF">2015-04-28T03:26:00Z</dcterms:created>
  <dcterms:modified xsi:type="dcterms:W3CDTF">2015-04-28T03:26:00Z</dcterms:modified>
</cp:coreProperties>
</file>