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A4" w:rsidRPr="004F0294" w:rsidRDefault="00053A45" w:rsidP="00347DA4">
      <w:pPr>
        <w:ind w:right="-64"/>
        <w:rPr>
          <w:rFonts w:ascii="DilleniaUPC" w:hAnsi="DilleniaUPC" w:cs="DilleniaUPC" w:hint="cs"/>
          <w:b/>
          <w:bCs/>
          <w:noProof/>
          <w:sz w:val="30"/>
          <w:szCs w:val="30"/>
          <w:cs/>
          <w:lang w:val="en-GB"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-200817</wp:posOffset>
                </wp:positionH>
                <wp:positionV relativeFrom="paragraph">
                  <wp:posOffset>-71252</wp:posOffset>
                </wp:positionV>
                <wp:extent cx="1995055" cy="831273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83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45" w:rsidRDefault="00053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8pt;margin-top:-5.6pt;width:157.1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" filled="f" stroked="f" strokeweight=".5pt">
                <v:textbox>
                  <w:txbxContent>
                    <w:p w:rsidR="00053A45" w:rsidRDefault="00053A45"/>
                  </w:txbxContent>
                </v:textbox>
              </v:shape>
            </w:pict>
          </mc:Fallback>
        </mc:AlternateContent>
      </w:r>
    </w:p>
    <w:p w:rsidR="00347DA4" w:rsidRPr="004F0294" w:rsidRDefault="00347DA4" w:rsidP="00347DA4">
      <w:pPr>
        <w:ind w:right="-64"/>
        <w:rPr>
          <w:rFonts w:ascii="DilleniaUPC" w:hAnsi="DilleniaUPC" w:cs="DilleniaUPC"/>
          <w:b/>
          <w:bCs/>
          <w:sz w:val="30"/>
          <w:szCs w:val="30"/>
        </w:rPr>
      </w:pPr>
      <w:bookmarkStart w:id="0" w:name="_GoBack"/>
      <w:bookmarkEnd w:id="0"/>
    </w:p>
    <w:p w:rsidR="00053A45" w:rsidRDefault="00053A45" w:rsidP="00347DA4">
      <w:pPr>
        <w:ind w:right="-64"/>
        <w:jc w:val="center"/>
        <w:rPr>
          <w:rFonts w:ascii="DilleniaUPC" w:hAnsi="DilleniaUPC" w:cs="DilleniaUPC" w:hint="cs"/>
          <w:b/>
          <w:bCs/>
          <w:sz w:val="36"/>
          <w:szCs w:val="36"/>
        </w:rPr>
      </w:pPr>
    </w:p>
    <w:p w:rsidR="00347DA4" w:rsidRPr="004F0294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4F0294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ประกาศสมาคมบริษัทหลักทรัพย์ไทย</w:t>
      </w:r>
    </w:p>
    <w:p w:rsidR="00347DA4" w:rsidRPr="004F0294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4F0294">
        <w:rPr>
          <w:rFonts w:ascii="DilleniaUPC" w:hAnsi="DilleniaUPC" w:cs="DilleniaUPC"/>
          <w:b/>
          <w:bCs/>
          <w:sz w:val="36"/>
          <w:szCs w:val="36"/>
          <w:cs/>
        </w:rPr>
        <w:t xml:space="preserve">ที่ </w:t>
      </w:r>
      <w:r w:rsidR="00092006" w:rsidRPr="004F0294">
        <w:rPr>
          <w:rFonts w:ascii="DilleniaUPC" w:hAnsi="DilleniaUPC" w:cs="DilleniaUPC"/>
          <w:b/>
          <w:bCs/>
          <w:sz w:val="36"/>
          <w:szCs w:val="36"/>
          <w:cs/>
        </w:rPr>
        <w:t xml:space="preserve">กส. </w:t>
      </w:r>
      <w:r w:rsidR="004F0294" w:rsidRPr="004F0294">
        <w:rPr>
          <w:rFonts w:ascii="DilleniaUPC" w:hAnsi="DilleniaUPC" w:cs="DilleniaUPC"/>
          <w:b/>
          <w:bCs/>
          <w:sz w:val="36"/>
          <w:szCs w:val="36"/>
        </w:rPr>
        <w:t>2/2562</w:t>
      </w:r>
    </w:p>
    <w:p w:rsidR="00347DA4" w:rsidRPr="004F0294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4F0294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6E72E3" w:rsidRPr="004F0294">
        <w:rPr>
          <w:rFonts w:ascii="DilleniaUPC" w:hAnsi="DilleniaUPC" w:cs="DilleniaUPC"/>
          <w:b/>
          <w:bCs/>
          <w:sz w:val="36"/>
          <w:szCs w:val="36"/>
          <w:cs/>
        </w:rPr>
        <w:t xml:space="preserve">หลักเกณฑ์และจรรยาบรรณในการประกอบธุรกิจหลักทรัพย์ของบริษัทสมาชิก (ฉบับที่ </w:t>
      </w:r>
      <w:r w:rsidR="004F0294" w:rsidRPr="004F0294">
        <w:rPr>
          <w:rFonts w:ascii="DilleniaUPC" w:hAnsi="DilleniaUPC" w:cs="DilleniaUPC"/>
          <w:b/>
          <w:bCs/>
          <w:sz w:val="36"/>
          <w:szCs w:val="36"/>
        </w:rPr>
        <w:t>2</w:t>
      </w:r>
      <w:r w:rsidRPr="004F0294">
        <w:rPr>
          <w:rFonts w:ascii="DilleniaUPC" w:hAnsi="DilleniaUPC" w:cs="DilleniaUPC"/>
          <w:b/>
          <w:bCs/>
          <w:sz w:val="36"/>
          <w:szCs w:val="36"/>
          <w:cs/>
        </w:rPr>
        <w:t>)</w:t>
      </w:r>
    </w:p>
    <w:p w:rsidR="00347DA4" w:rsidRDefault="00347DA4" w:rsidP="00347DA4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4F0294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:rsidR="004F0294" w:rsidRPr="004F0294" w:rsidRDefault="004F0294" w:rsidP="00347DA4">
      <w:pPr>
        <w:ind w:right="-64"/>
        <w:jc w:val="center"/>
        <w:rPr>
          <w:rFonts w:ascii="DilleniaUPC" w:hAnsi="DilleniaUPC" w:cs="DilleniaUPC"/>
          <w:b/>
          <w:bCs/>
          <w:sz w:val="16"/>
          <w:szCs w:val="16"/>
        </w:rPr>
      </w:pPr>
    </w:p>
    <w:p w:rsidR="00347DA4" w:rsidRPr="004F0294" w:rsidRDefault="00347DA4" w:rsidP="00347DA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4F0294">
        <w:rPr>
          <w:rFonts w:ascii="DilleniaUPC" w:hAnsi="DilleniaUPC" w:cs="DilleniaUPC"/>
          <w:sz w:val="30"/>
          <w:szCs w:val="30"/>
          <w:cs/>
        </w:rPr>
        <w:t>โดยที่เห็นสมควรให้ทบทวน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>หลักเกณฑ์และจรรยาบรรณการประกอบธุรกิจหลักทรัพย์ของบริษัทสมาชิก</w:t>
      </w:r>
      <w:r w:rsidRPr="004F0294">
        <w:rPr>
          <w:rFonts w:ascii="DilleniaUPC" w:hAnsi="DilleniaUPC" w:cs="DilleniaUPC"/>
          <w:sz w:val="30"/>
          <w:szCs w:val="30"/>
          <w:cs/>
        </w:rPr>
        <w:t xml:space="preserve"> ให้เกิดความเหมาะสมและสอดคล้องต่อการปฏิบัติงานและการดำเนินธุรกิจ</w:t>
      </w:r>
    </w:p>
    <w:p w:rsidR="00347DA4" w:rsidRPr="004F0294" w:rsidRDefault="00347DA4" w:rsidP="00347DA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347DA4" w:rsidRPr="004F0294" w:rsidRDefault="00347DA4" w:rsidP="00347DA4">
      <w:pPr>
        <w:ind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4F0294">
        <w:rPr>
          <w:rFonts w:ascii="DilleniaUPC" w:hAnsi="DilleniaUPC" w:cs="DilleniaUPC"/>
          <w:sz w:val="30"/>
          <w:szCs w:val="30"/>
          <w:cs/>
        </w:rPr>
        <w:t xml:space="preserve">อาศัยอำนาจตามความในข้อ </w:t>
      </w:r>
      <w:r w:rsidR="004F0294">
        <w:rPr>
          <w:rFonts w:ascii="DilleniaUPC" w:hAnsi="DilleniaUPC" w:cs="DilleniaUPC"/>
          <w:sz w:val="30"/>
          <w:szCs w:val="30"/>
        </w:rPr>
        <w:t>22</w:t>
      </w:r>
      <w:r w:rsidRPr="004F0294">
        <w:rPr>
          <w:rFonts w:ascii="DilleniaUPC" w:hAnsi="DilleniaUPC" w:cs="DilleniaUPC"/>
          <w:sz w:val="30"/>
          <w:szCs w:val="30"/>
          <w:cs/>
        </w:rPr>
        <w:t xml:space="preserve"> แห่งข้อบังคับสมาคมบริษัทหลักทรัพย์ไทย โดยความเห็นชอบของคณะกรรมการตามที</w:t>
      </w:r>
      <w:r w:rsidR="004F0294" w:rsidRPr="004F0294">
        <w:rPr>
          <w:rFonts w:ascii="DilleniaUPC" w:hAnsi="DilleniaUPC" w:cs="DilleniaUPC"/>
          <w:sz w:val="30"/>
          <w:szCs w:val="30"/>
          <w:cs/>
        </w:rPr>
        <w:t>่ประชุมคณะกรรมการ เมื่อวันที่</w:t>
      </w:r>
      <w:r w:rsidR="004F0294" w:rsidRPr="004F0294">
        <w:rPr>
          <w:rFonts w:ascii="DilleniaUPC" w:hAnsi="DilleniaUPC" w:cs="DilleniaUPC"/>
          <w:sz w:val="30"/>
          <w:szCs w:val="30"/>
        </w:rPr>
        <w:t xml:space="preserve"> 8 </w:t>
      </w:r>
      <w:r w:rsidR="009D2CAA" w:rsidRPr="004F0294">
        <w:rPr>
          <w:rFonts w:ascii="DilleniaUPC" w:hAnsi="DilleniaUPC" w:cs="DilleniaUPC"/>
          <w:sz w:val="30"/>
          <w:szCs w:val="30"/>
          <w:cs/>
        </w:rPr>
        <w:t>พฤศจิกายน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 </w:t>
      </w:r>
      <w:r w:rsidR="004F0294">
        <w:rPr>
          <w:rFonts w:ascii="DilleniaUPC" w:hAnsi="DilleniaUPC" w:cs="DilleniaUPC"/>
          <w:sz w:val="30"/>
          <w:szCs w:val="30"/>
        </w:rPr>
        <w:t>2562</w:t>
      </w:r>
      <w:r w:rsidRPr="004F0294">
        <w:rPr>
          <w:rFonts w:ascii="DilleniaUPC" w:hAnsi="DilleniaUPC" w:cs="DilleniaUPC"/>
          <w:sz w:val="30"/>
          <w:szCs w:val="30"/>
          <w:cs/>
        </w:rPr>
        <w:t xml:space="preserve"> สมาคมบริษัทหลักทรัพย์ไทยจึงกำหนดประกาศสมาคมบริษัทหลักทรัพย์ไทย เรื่อง 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หลักเกณฑ์และจรรยาบรรณในการประกอบธุรกิจหลักทรัพย์ของบริษัทสมาชิก </w:t>
      </w:r>
      <w:r w:rsidRPr="004F0294">
        <w:rPr>
          <w:rFonts w:ascii="DilleniaUPC" w:hAnsi="DilleniaUPC" w:cs="DilleniaUPC"/>
          <w:sz w:val="30"/>
          <w:szCs w:val="30"/>
          <w:cs/>
        </w:rPr>
        <w:t>เพื่อให้สมาชิกสมาคม</w:t>
      </w:r>
      <w:r w:rsidR="00DC0F31">
        <w:rPr>
          <w:rFonts w:ascii="DilleniaUPC" w:hAnsi="DilleniaUPC" w:cs="DilleniaUPC"/>
          <w:sz w:val="30"/>
          <w:szCs w:val="30"/>
        </w:rPr>
        <w:br/>
      </w:r>
      <w:r w:rsidRPr="004F0294">
        <w:rPr>
          <w:rFonts w:ascii="DilleniaUPC" w:hAnsi="DilleniaUPC" w:cs="DilleniaUPC"/>
          <w:sz w:val="30"/>
          <w:szCs w:val="30"/>
          <w:cs/>
        </w:rPr>
        <w:t>ถือปฏิบัติดังนี้</w:t>
      </w:r>
      <w:r w:rsidR="004F0294" w:rsidRPr="004F0294">
        <w:rPr>
          <w:rFonts w:ascii="DilleniaUPC" w:hAnsi="DilleniaUPC" w:cs="DilleniaUPC"/>
          <w:sz w:val="30"/>
          <w:szCs w:val="30"/>
        </w:rPr>
        <w:t xml:space="preserve"> </w:t>
      </w:r>
    </w:p>
    <w:p w:rsidR="00347DA4" w:rsidRPr="004F0294" w:rsidRDefault="00347DA4" w:rsidP="00347DA4">
      <w:pPr>
        <w:jc w:val="thaiDistribute"/>
        <w:rPr>
          <w:rFonts w:ascii="DilleniaUPC" w:hAnsi="DilleniaUPC" w:cs="DilleniaUPC"/>
          <w:sz w:val="30"/>
          <w:szCs w:val="30"/>
        </w:rPr>
      </w:pPr>
    </w:p>
    <w:p w:rsidR="00347DA4" w:rsidRPr="004F0294" w:rsidRDefault="00347DA4" w:rsidP="00347DA4">
      <w:pPr>
        <w:ind w:firstLine="720"/>
        <w:jc w:val="thaiDistribute"/>
        <w:rPr>
          <w:rFonts w:ascii="DilleniaUPC" w:hAnsi="DilleniaUPC" w:cs="DilleniaUPC"/>
          <w:sz w:val="30"/>
          <w:szCs w:val="30"/>
        </w:rPr>
      </w:pPr>
      <w:r w:rsidRPr="004F0294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4F0294">
        <w:rPr>
          <w:rFonts w:ascii="DilleniaUPC" w:hAnsi="DilleniaUPC" w:cs="DilleniaUPC"/>
          <w:sz w:val="30"/>
          <w:szCs w:val="30"/>
        </w:rPr>
        <w:t>1</w:t>
      </w:r>
      <w:r w:rsidRPr="004F0294">
        <w:rPr>
          <w:rFonts w:ascii="DilleniaUPC" w:hAnsi="DilleniaUPC" w:cs="DilleniaUPC"/>
          <w:sz w:val="30"/>
          <w:szCs w:val="30"/>
          <w:cs/>
        </w:rPr>
        <w:t xml:space="preserve"> 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ให้ยกเลิกความในข้อ </w:t>
      </w:r>
      <w:r w:rsidR="004F0294">
        <w:rPr>
          <w:rFonts w:ascii="DilleniaUPC" w:hAnsi="DilleniaUPC" w:cs="DilleniaUPC"/>
          <w:sz w:val="30"/>
          <w:szCs w:val="30"/>
        </w:rPr>
        <w:t>1</w:t>
      </w:r>
      <w:r w:rsidR="009D2CAA" w:rsidRPr="004F0294">
        <w:rPr>
          <w:rFonts w:ascii="DilleniaUPC" w:hAnsi="DilleniaUPC" w:cs="DilleniaUPC"/>
          <w:sz w:val="30"/>
          <w:szCs w:val="30"/>
          <w:cs/>
        </w:rPr>
        <w:t xml:space="preserve"> แห่งประกาศสมาคม เรื่อง 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หลักเกณฑ์และจรรยาบรรณในการประกอบธุรกิจหลักทรัพย์ของบริษัทสมาชิก </w:t>
      </w:r>
      <w:r w:rsidRPr="004F0294">
        <w:rPr>
          <w:rFonts w:ascii="DilleniaUPC" w:hAnsi="DilleniaUPC" w:cs="DilleniaUPC"/>
          <w:sz w:val="30"/>
          <w:szCs w:val="30"/>
          <w:cs/>
        </w:rPr>
        <w:t xml:space="preserve">และให้ใช้ความดังต่อไปนี้แทน </w:t>
      </w:r>
    </w:p>
    <w:p w:rsidR="00347DA4" w:rsidRPr="004F0294" w:rsidRDefault="00347DA4" w:rsidP="00347DA4">
      <w:pPr>
        <w:spacing w:before="120"/>
        <w:ind w:left="720"/>
        <w:jc w:val="thaiDistribute"/>
        <w:rPr>
          <w:rFonts w:ascii="DilleniaUPC" w:hAnsi="DilleniaUPC" w:cs="DilleniaUPC"/>
          <w:sz w:val="30"/>
          <w:szCs w:val="30"/>
        </w:rPr>
      </w:pPr>
      <w:r w:rsidRPr="004F0294">
        <w:rPr>
          <w:rFonts w:ascii="DilleniaUPC" w:hAnsi="DilleniaUPC" w:cs="DilleniaUPC"/>
          <w:sz w:val="30"/>
          <w:szCs w:val="30"/>
          <w:cs/>
        </w:rPr>
        <w:t>“</w:t>
      </w:r>
      <w:r w:rsidR="004F0294">
        <w:rPr>
          <w:rFonts w:ascii="DilleniaUPC" w:hAnsi="DilleniaUPC" w:cs="DilleniaUPC"/>
          <w:sz w:val="30"/>
          <w:szCs w:val="30"/>
        </w:rPr>
        <w:t>(1)</w:t>
      </w:r>
      <w:r w:rsidRPr="004F0294">
        <w:rPr>
          <w:rFonts w:ascii="DilleniaUPC" w:hAnsi="DilleniaUPC" w:cs="DilleniaUPC"/>
          <w:sz w:val="30"/>
          <w:szCs w:val="30"/>
          <w:cs/>
        </w:rPr>
        <w:t xml:space="preserve"> 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การคิดอัตราดอกเบี้ยเงินให้กู้ยืมสำหรับลูกค้าเพื่อซื้อขายหลักทรัพย์สำหรับบัญชี </w:t>
      </w:r>
      <w:r w:rsidR="006E72E3" w:rsidRPr="004F0294">
        <w:rPr>
          <w:rFonts w:ascii="DilleniaUPC" w:hAnsi="DilleniaUPC" w:cs="DilleniaUPC"/>
          <w:sz w:val="30"/>
          <w:szCs w:val="30"/>
          <w:lang w:val="en-GB"/>
        </w:rPr>
        <w:t xml:space="preserve">Credit Balance </w:t>
      </w:r>
      <w:r w:rsidR="00DB013E" w:rsidRPr="004F0294">
        <w:rPr>
          <w:rFonts w:ascii="DilleniaUPC" w:hAnsi="DilleniaUPC" w:cs="DilleniaUPC"/>
          <w:sz w:val="30"/>
          <w:szCs w:val="30"/>
          <w:cs/>
          <w:lang w:val="en-GB"/>
        </w:rPr>
        <w:t>หรือการให้บริการ</w:t>
      </w:r>
      <w:r w:rsidR="00DB013E" w:rsidRPr="004F0294">
        <w:rPr>
          <w:rFonts w:ascii="DilleniaUPC" w:hAnsi="DilleniaUPC" w:cs="DilleniaUPC"/>
          <w:sz w:val="30"/>
          <w:szCs w:val="30"/>
          <w:cs/>
        </w:rPr>
        <w:t>ลูกค้าในการ</w:t>
      </w:r>
      <w:r w:rsidR="00DB013E" w:rsidRPr="004F0294">
        <w:rPr>
          <w:rFonts w:ascii="DilleniaUPC" w:hAnsi="DilleniaUPC" w:cs="DilleniaUPC"/>
          <w:sz w:val="30"/>
          <w:szCs w:val="30"/>
          <w:cs/>
          <w:lang w:val="en-GB"/>
        </w:rPr>
        <w:t xml:space="preserve">ซื้อขายสัญญาซื้อขายล่วงหน้าโดยมีข้อตกลงซื้อขายแบบ </w:t>
      </w:r>
      <w:r w:rsidR="00DB013E" w:rsidRPr="004F0294">
        <w:rPr>
          <w:rFonts w:ascii="DilleniaUPC" w:hAnsi="DilleniaUPC" w:cs="DilleniaUPC"/>
          <w:sz w:val="30"/>
          <w:szCs w:val="30"/>
          <w:lang w:val="en-GB"/>
        </w:rPr>
        <w:t xml:space="preserve">Block Trade </w:t>
      </w:r>
      <w:r w:rsidR="006E72E3" w:rsidRPr="004F0294">
        <w:rPr>
          <w:rFonts w:ascii="DilleniaUPC" w:hAnsi="DilleniaUPC" w:cs="DilleniaUPC"/>
          <w:sz w:val="30"/>
          <w:szCs w:val="30"/>
          <w:cs/>
          <w:lang w:val="en-GB"/>
        </w:rPr>
        <w:t>ให้สมาชิกคิดอัตราดอกเบี้ยไม่ต่ำกว่าค่าเฉลี่ยของอัตราดอกเบี้ยสำหรับลูกค้าชั้นดี (</w:t>
      </w:r>
      <w:r w:rsidR="006E72E3" w:rsidRPr="004F0294">
        <w:rPr>
          <w:rFonts w:ascii="DilleniaUPC" w:hAnsi="DilleniaUPC" w:cs="DilleniaUPC"/>
          <w:sz w:val="30"/>
          <w:szCs w:val="30"/>
          <w:lang w:val="en-GB"/>
        </w:rPr>
        <w:t>MOR</w:t>
      </w:r>
      <w:r w:rsidR="006E72E3" w:rsidRPr="004F0294">
        <w:rPr>
          <w:rFonts w:ascii="DilleniaUPC" w:hAnsi="DilleniaUPC" w:cs="DilleniaUPC"/>
          <w:sz w:val="30"/>
          <w:szCs w:val="30"/>
          <w:cs/>
          <w:lang w:val="en-GB"/>
        </w:rPr>
        <w:t xml:space="preserve">) 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ของธนาคารพาณิชย์ </w:t>
      </w:r>
      <w:r w:rsidR="004F0294">
        <w:rPr>
          <w:rFonts w:ascii="DilleniaUPC" w:hAnsi="DilleniaUPC" w:cs="DilleniaUPC"/>
          <w:sz w:val="30"/>
          <w:szCs w:val="30"/>
        </w:rPr>
        <w:t>4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 แห่ง คือ ธนาคารกรุงเทพ (</w:t>
      </w:r>
      <w:r w:rsidR="006E72E3" w:rsidRPr="004F0294">
        <w:rPr>
          <w:rFonts w:ascii="DilleniaUPC" w:hAnsi="DilleniaUPC" w:cs="DilleniaUPC"/>
          <w:sz w:val="30"/>
          <w:szCs w:val="30"/>
          <w:lang w:val="en-GB"/>
        </w:rPr>
        <w:t>BBL</w:t>
      </w:r>
      <w:r w:rsidR="006E72E3" w:rsidRPr="004F0294">
        <w:rPr>
          <w:rFonts w:ascii="DilleniaUPC" w:hAnsi="DilleniaUPC" w:cs="DilleniaUPC"/>
          <w:sz w:val="30"/>
          <w:szCs w:val="30"/>
          <w:cs/>
          <w:lang w:val="en-GB"/>
        </w:rPr>
        <w:t>)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 xml:space="preserve"> ธนาคารกรุงไทย (</w:t>
      </w:r>
      <w:r w:rsidR="006E72E3" w:rsidRPr="004F0294">
        <w:rPr>
          <w:rFonts w:ascii="DilleniaUPC" w:hAnsi="DilleniaUPC" w:cs="DilleniaUPC"/>
          <w:sz w:val="30"/>
          <w:szCs w:val="30"/>
        </w:rPr>
        <w:t>KTB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>) ธนาคารกสิกรไทย (</w:t>
      </w:r>
      <w:r w:rsidR="006E72E3" w:rsidRPr="004F0294">
        <w:rPr>
          <w:rFonts w:ascii="DilleniaUPC" w:hAnsi="DilleniaUPC" w:cs="DilleniaUPC"/>
          <w:sz w:val="30"/>
          <w:szCs w:val="30"/>
        </w:rPr>
        <w:t>KBANK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>) และธนาคารไทยพาณิชย์ (</w:t>
      </w:r>
      <w:r w:rsidR="006E72E3" w:rsidRPr="004F0294">
        <w:rPr>
          <w:rFonts w:ascii="DilleniaUPC" w:hAnsi="DilleniaUPC" w:cs="DilleniaUPC"/>
          <w:sz w:val="30"/>
          <w:szCs w:val="30"/>
        </w:rPr>
        <w:t>SCB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>) ณ วัน</w:t>
      </w:r>
      <w:r w:rsidR="004F0294" w:rsidRPr="004F0294">
        <w:rPr>
          <w:rFonts w:ascii="DilleniaUPC" w:hAnsi="DilleniaUPC" w:cs="DilleniaUPC"/>
          <w:sz w:val="30"/>
          <w:szCs w:val="30"/>
          <w:cs/>
        </w:rPr>
        <w:t xml:space="preserve">ทำการสุดท้ายของเดือนก่อนหน้าลบ </w:t>
      </w:r>
      <w:r w:rsidR="004F0294" w:rsidRPr="004F0294">
        <w:rPr>
          <w:rFonts w:ascii="DilleniaUPC" w:hAnsi="DilleniaUPC" w:cs="DilleniaUPC"/>
          <w:sz w:val="30"/>
          <w:szCs w:val="30"/>
        </w:rPr>
        <w:t>2</w:t>
      </w:r>
      <w:r w:rsidR="004F0294">
        <w:rPr>
          <w:rFonts w:ascii="DilleniaUPC" w:hAnsi="DilleniaUPC" w:cs="DilleniaUPC"/>
          <w:sz w:val="30"/>
          <w:szCs w:val="30"/>
          <w:lang w:val="en-GB"/>
        </w:rPr>
        <w:t>%</w:t>
      </w:r>
      <w:r w:rsidRPr="004F0294">
        <w:rPr>
          <w:rFonts w:ascii="DilleniaUPC" w:hAnsi="DilleniaUPC" w:cs="DilleniaUPC"/>
          <w:sz w:val="30"/>
          <w:szCs w:val="30"/>
          <w:cs/>
        </w:rPr>
        <w:t>”</w:t>
      </w:r>
    </w:p>
    <w:p w:rsidR="00347DA4" w:rsidRPr="004F0294" w:rsidRDefault="00347DA4" w:rsidP="00347DA4">
      <w:pPr>
        <w:rPr>
          <w:rFonts w:ascii="DilleniaUPC" w:eastAsia="Batang" w:hAnsi="DilleniaUPC" w:cs="DilleniaUPC"/>
          <w:sz w:val="30"/>
          <w:szCs w:val="30"/>
          <w:lang w:eastAsia="ko-KR"/>
        </w:rPr>
      </w:pPr>
    </w:p>
    <w:p w:rsidR="00347DA4" w:rsidRPr="004F0294" w:rsidRDefault="00347DA4" w:rsidP="004F0294">
      <w:pPr>
        <w:ind w:firstLine="709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4F0294">
        <w:rPr>
          <w:rFonts w:ascii="DilleniaUPC" w:eastAsia="Batang" w:hAnsi="DilleniaUPC" w:cs="DilleniaUPC"/>
          <w:sz w:val="30"/>
          <w:szCs w:val="30"/>
          <w:cs/>
          <w:lang w:eastAsia="ko-KR"/>
        </w:rPr>
        <w:t>ประกาศนี้มีผลบังคับตั้งแต่วันที่</w:t>
      </w:r>
      <w:r w:rsidR="009D2CAA" w:rsidRPr="004F0294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</w:t>
      </w:r>
      <w:r w:rsidR="004F0294">
        <w:rPr>
          <w:rFonts w:ascii="DilleniaUPC" w:eastAsia="Batang" w:hAnsi="DilleniaUPC" w:cs="DilleniaUPC"/>
          <w:sz w:val="30"/>
          <w:szCs w:val="30"/>
          <w:lang w:eastAsia="ko-KR"/>
        </w:rPr>
        <w:t>15</w:t>
      </w:r>
      <w:r w:rsidR="009D2CAA" w:rsidRPr="004F0294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พฤศจิกายน</w:t>
      </w:r>
      <w:r w:rsidRPr="004F0294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</w:t>
      </w:r>
      <w:r w:rsidR="004F0294">
        <w:rPr>
          <w:rFonts w:ascii="DilleniaUPC" w:eastAsia="Batang" w:hAnsi="DilleniaUPC" w:cs="DilleniaUPC"/>
          <w:sz w:val="30"/>
          <w:szCs w:val="30"/>
          <w:lang w:eastAsia="ko-KR"/>
        </w:rPr>
        <w:t xml:space="preserve">2562 </w:t>
      </w:r>
      <w:r w:rsidRPr="004F0294">
        <w:rPr>
          <w:rFonts w:ascii="DilleniaUPC" w:eastAsia="Batang" w:hAnsi="DilleniaUPC" w:cs="DilleniaUPC"/>
          <w:sz w:val="30"/>
          <w:szCs w:val="30"/>
          <w:cs/>
          <w:lang w:eastAsia="ko-KR"/>
        </w:rPr>
        <w:t>เป็นต้นไป</w:t>
      </w:r>
    </w:p>
    <w:p w:rsidR="00347DA4" w:rsidRPr="004F0294" w:rsidRDefault="00347DA4" w:rsidP="00347DA4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347DA4" w:rsidRPr="004F0294" w:rsidRDefault="00347DA4" w:rsidP="00347DA4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  <w:cs/>
        </w:rPr>
      </w:pPr>
      <w:r w:rsidRPr="004F0294">
        <w:rPr>
          <w:rFonts w:ascii="DilleniaUPC" w:hAnsi="DilleniaUPC" w:cs="DilleniaUPC"/>
          <w:sz w:val="30"/>
          <w:szCs w:val="30"/>
        </w:rPr>
        <w:tab/>
      </w:r>
      <w:r w:rsidRPr="004F0294">
        <w:rPr>
          <w:rFonts w:ascii="DilleniaUPC" w:hAnsi="DilleniaUPC" w:cs="DilleniaUPC"/>
          <w:sz w:val="30"/>
          <w:szCs w:val="30"/>
          <w:cs/>
        </w:rPr>
        <w:t>ประกาศ ณ วันที่</w:t>
      </w:r>
      <w:r w:rsidR="009D2CAA" w:rsidRPr="004F0294">
        <w:rPr>
          <w:rFonts w:ascii="DilleniaUPC" w:hAnsi="DilleniaUPC" w:cs="DilleniaUPC"/>
          <w:sz w:val="30"/>
          <w:szCs w:val="30"/>
          <w:cs/>
        </w:rPr>
        <w:t xml:space="preserve"> </w:t>
      </w:r>
      <w:r w:rsidR="004F0294">
        <w:rPr>
          <w:rFonts w:ascii="DilleniaUPC" w:hAnsi="DilleniaUPC" w:cs="DilleniaUPC"/>
          <w:sz w:val="30"/>
          <w:szCs w:val="30"/>
        </w:rPr>
        <w:t>12</w:t>
      </w:r>
      <w:r w:rsidR="009D2CAA" w:rsidRPr="004F0294">
        <w:rPr>
          <w:rFonts w:ascii="DilleniaUPC" w:hAnsi="DilleniaUPC" w:cs="DilleniaUPC"/>
          <w:sz w:val="30"/>
          <w:szCs w:val="30"/>
          <w:cs/>
        </w:rPr>
        <w:t xml:space="preserve"> พฤศจิกายน </w:t>
      </w:r>
      <w:r w:rsidR="004F0294">
        <w:rPr>
          <w:rFonts w:ascii="DilleniaUPC" w:hAnsi="DilleniaUPC" w:cs="DilleniaUPC"/>
          <w:sz w:val="30"/>
          <w:szCs w:val="30"/>
        </w:rPr>
        <w:t>2562</w:t>
      </w:r>
    </w:p>
    <w:p w:rsidR="00347DA4" w:rsidRPr="004F0294" w:rsidRDefault="00347DA4" w:rsidP="00347DA4">
      <w:pPr>
        <w:ind w:firstLine="720"/>
        <w:rPr>
          <w:rFonts w:ascii="DilleniaUPC" w:hAnsi="DilleniaUPC" w:cs="DilleniaUPC"/>
          <w:sz w:val="30"/>
          <w:szCs w:val="30"/>
        </w:rPr>
      </w:pPr>
    </w:p>
    <w:p w:rsidR="00347DA4" w:rsidRPr="004F0294" w:rsidRDefault="00347DA4" w:rsidP="00347DA4">
      <w:pPr>
        <w:ind w:firstLine="720"/>
        <w:rPr>
          <w:rFonts w:ascii="DilleniaUPC" w:hAnsi="DilleniaUPC" w:cs="DilleniaUPC"/>
          <w:sz w:val="30"/>
          <w:szCs w:val="30"/>
        </w:rPr>
      </w:pPr>
    </w:p>
    <w:p w:rsidR="00347DA4" w:rsidRPr="004F0294" w:rsidRDefault="00347DA4" w:rsidP="00347DA4">
      <w:pPr>
        <w:tabs>
          <w:tab w:val="center" w:pos="5760"/>
        </w:tabs>
        <w:rPr>
          <w:rFonts w:ascii="DilleniaUPC" w:hAnsi="DilleniaUPC" w:cs="DilleniaUPC"/>
          <w:sz w:val="30"/>
          <w:szCs w:val="30"/>
        </w:rPr>
      </w:pPr>
    </w:p>
    <w:p w:rsidR="00347DA4" w:rsidRPr="004F0294" w:rsidRDefault="00347DA4" w:rsidP="00347DA4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  <w:r w:rsidRPr="004F0294">
        <w:rPr>
          <w:rFonts w:ascii="DilleniaUPC" w:hAnsi="DilleniaUPC" w:cs="DilleniaUPC"/>
          <w:sz w:val="30"/>
          <w:szCs w:val="30"/>
          <w:cs/>
        </w:rPr>
        <w:tab/>
        <w:t>(</w:t>
      </w:r>
      <w:r w:rsidR="006E72E3" w:rsidRPr="004F0294">
        <w:rPr>
          <w:rFonts w:ascii="DilleniaUPC" w:hAnsi="DilleniaUPC" w:cs="DilleniaUPC"/>
          <w:sz w:val="30"/>
          <w:szCs w:val="30"/>
          <w:cs/>
        </w:rPr>
        <w:t>นายพิเชษฐ สิทธิอำนวย</w:t>
      </w:r>
      <w:r w:rsidRPr="004F0294">
        <w:rPr>
          <w:rFonts w:ascii="DilleniaUPC" w:hAnsi="DilleniaUPC" w:cs="DilleniaUPC"/>
          <w:sz w:val="30"/>
          <w:szCs w:val="30"/>
          <w:cs/>
        </w:rPr>
        <w:t>)</w:t>
      </w:r>
    </w:p>
    <w:p w:rsidR="0085432E" w:rsidRPr="004F0294" w:rsidRDefault="00347DA4" w:rsidP="00347DA4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  <w:r w:rsidRPr="004F0294">
        <w:rPr>
          <w:rFonts w:ascii="DilleniaUPC" w:hAnsi="DilleniaUPC" w:cs="DilleniaUPC"/>
          <w:sz w:val="30"/>
          <w:szCs w:val="30"/>
          <w:cs/>
        </w:rPr>
        <w:tab/>
        <w:t>นายกสมาคม</w:t>
      </w:r>
    </w:p>
    <w:sectPr w:rsidR="0085432E" w:rsidRPr="004F0294" w:rsidSect="00BF2F5E">
      <w:headerReference w:type="default" r:id="rId7"/>
      <w:footerReference w:type="default" r:id="rId8"/>
      <w:pgSz w:w="11906" w:h="16838" w:code="9"/>
      <w:pgMar w:top="993" w:right="1196" w:bottom="709" w:left="1644" w:header="567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37" w:rsidRDefault="00182637">
      <w:r>
        <w:separator/>
      </w:r>
    </w:p>
  </w:endnote>
  <w:endnote w:type="continuationSeparator" w:id="0">
    <w:p w:rsidR="00182637" w:rsidRDefault="001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Pr="008B5A69" w:rsidRDefault="00347DA4" w:rsidP="008B5A69">
    <w:pPr>
      <w:pStyle w:val="Footer"/>
      <w:ind w:right="-449"/>
      <w:jc w:val="right"/>
      <w:rPr>
        <w:rFonts w:ascii="DilleniaUPC" w:hAnsi="DilleniaUPC" w:cs="DilleniaUPC"/>
        <w:sz w:val="30"/>
        <w:szCs w:val="30"/>
      </w:rPr>
    </w:pPr>
    <w:r>
      <w:rPr>
        <w:rFonts w:hint="cs"/>
        <w:cs/>
      </w:rPr>
      <w:tab/>
    </w:r>
    <w:r w:rsidRPr="008B5A69">
      <w:rPr>
        <w:rFonts w:hint="cs"/>
        <w:cs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37" w:rsidRDefault="00182637">
      <w:r>
        <w:separator/>
      </w:r>
    </w:p>
  </w:footnote>
  <w:footnote w:type="continuationSeparator" w:id="0">
    <w:p w:rsidR="00182637" w:rsidRDefault="0018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182637" w:rsidP="00EC194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4"/>
    <w:rsid w:val="00053A45"/>
    <w:rsid w:val="00092006"/>
    <w:rsid w:val="00151AB7"/>
    <w:rsid w:val="00182637"/>
    <w:rsid w:val="00305116"/>
    <w:rsid w:val="00347DA4"/>
    <w:rsid w:val="00357457"/>
    <w:rsid w:val="004F0294"/>
    <w:rsid w:val="00625901"/>
    <w:rsid w:val="006A0D14"/>
    <w:rsid w:val="006E72E3"/>
    <w:rsid w:val="007C5102"/>
    <w:rsid w:val="0084002B"/>
    <w:rsid w:val="0085432E"/>
    <w:rsid w:val="009D2CAA"/>
    <w:rsid w:val="00A65FF1"/>
    <w:rsid w:val="00B2701F"/>
    <w:rsid w:val="00B560F9"/>
    <w:rsid w:val="00DB013E"/>
    <w:rsid w:val="00DC0F31"/>
    <w:rsid w:val="00E24453"/>
    <w:rsid w:val="00F06568"/>
    <w:rsid w:val="00F32A43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7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DA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347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A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A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7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7DA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347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DA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D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A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Sunisa Lohma</cp:lastModifiedBy>
  <cp:revision>2</cp:revision>
  <cp:lastPrinted>2019-11-11T02:22:00Z</cp:lastPrinted>
  <dcterms:created xsi:type="dcterms:W3CDTF">2019-11-18T10:18:00Z</dcterms:created>
  <dcterms:modified xsi:type="dcterms:W3CDTF">2019-11-18T10:18:00Z</dcterms:modified>
</cp:coreProperties>
</file>