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D" w:rsidRDefault="00566C1E" w:rsidP="00566C1E">
      <w:pPr>
        <w:ind w:right="-766"/>
        <w:jc w:val="center"/>
        <w:rPr>
          <w:rFonts w:ascii="Browallia New" w:hAnsi="Browallia New" w:cs="Browallia New"/>
          <w:b/>
          <w:bCs/>
          <w:sz w:val="30"/>
          <w:szCs w:val="30"/>
          <w:cs/>
        </w:rPr>
      </w:pPr>
      <w:bookmarkStart w:id="0" w:name="_GoBack"/>
      <w:bookmarkEnd w:id="0"/>
      <w:r>
        <w:rPr>
          <w:rFonts w:ascii="Browallia New" w:hAnsi="Browallia New" w:cs="Browallia New"/>
          <w:b/>
          <w:bCs/>
          <w:sz w:val="30"/>
          <w:szCs w:val="30"/>
        </w:rPr>
        <w:t>-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>ฉบับประมวล</w:t>
      </w:r>
      <w:r>
        <w:rPr>
          <w:rFonts w:ascii="Browallia New" w:hAnsi="Browallia New" w:cs="Browallia New"/>
          <w:b/>
          <w:bCs/>
          <w:sz w:val="30"/>
          <w:szCs w:val="30"/>
        </w:rPr>
        <w:t>-</w:t>
      </w:r>
    </w:p>
    <w:p w:rsidR="0044658A" w:rsidRPr="00566C1E" w:rsidRDefault="0044658A" w:rsidP="00971E21">
      <w:pPr>
        <w:ind w:right="-766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0040E3" w:rsidRPr="00643429" w:rsidRDefault="000040E3" w:rsidP="00971E21">
      <w:pPr>
        <w:ind w:right="-766"/>
        <w:jc w:val="center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643429">
        <w:rPr>
          <w:rFonts w:ascii="Browallia New" w:hAnsi="Browallia New" w:cs="Browallia New"/>
          <w:b/>
          <w:bCs/>
          <w:sz w:val="30"/>
          <w:szCs w:val="30"/>
          <w:cs/>
        </w:rPr>
        <w:t>ประกาศสมาคมบริษัทหลักทรัพย์</w:t>
      </w:r>
      <w:r w:rsidR="006F7B9B">
        <w:rPr>
          <w:rFonts w:ascii="Browallia New" w:hAnsi="Browallia New" w:cs="Browallia New" w:hint="cs"/>
          <w:b/>
          <w:bCs/>
          <w:sz w:val="30"/>
          <w:szCs w:val="30"/>
          <w:cs/>
        </w:rPr>
        <w:t>ไทย</w:t>
      </w:r>
    </w:p>
    <w:p w:rsidR="000025E8" w:rsidRDefault="000040E3" w:rsidP="00971E21">
      <w:pPr>
        <w:ind w:right="-766"/>
        <w:jc w:val="center"/>
        <w:rPr>
          <w:rFonts w:ascii="Browallia New" w:hAnsi="Browallia New" w:cs="Browallia New"/>
          <w:b/>
          <w:bCs/>
          <w:sz w:val="30"/>
          <w:szCs w:val="30"/>
        </w:rPr>
      </w:pPr>
      <w:r w:rsidRPr="00643429">
        <w:rPr>
          <w:rFonts w:ascii="Browallia New" w:hAnsi="Browallia New" w:cs="Browallia New"/>
          <w:b/>
          <w:bCs/>
          <w:sz w:val="30"/>
          <w:szCs w:val="30"/>
          <w:cs/>
        </w:rPr>
        <w:t xml:space="preserve">เรื่อง  </w:t>
      </w:r>
      <w:r w:rsidR="006F7B9B">
        <w:rPr>
          <w:rFonts w:ascii="Browallia New" w:hAnsi="Browallia New" w:cs="Browallia New" w:hint="cs"/>
          <w:b/>
          <w:bCs/>
          <w:sz w:val="30"/>
          <w:szCs w:val="30"/>
          <w:cs/>
        </w:rPr>
        <w:t>หลักเกณฑ์และจรรยาบรรณในการประกอบธุรกิจหลักทรัพย์ของบริษัทสมาชิก</w:t>
      </w:r>
    </w:p>
    <w:p w:rsidR="00B956D4" w:rsidRDefault="00B956D4" w:rsidP="00971E21">
      <w:pPr>
        <w:ind w:right="-766"/>
        <w:jc w:val="center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/>
          <w:b/>
          <w:bCs/>
          <w:sz w:val="30"/>
          <w:szCs w:val="30"/>
        </w:rPr>
        <w:t>---------------------------------------------------------</w:t>
      </w:r>
    </w:p>
    <w:p w:rsidR="00B956D4" w:rsidRPr="00C647CA" w:rsidRDefault="00B956D4" w:rsidP="000040E3">
      <w:pPr>
        <w:jc w:val="center"/>
        <w:rPr>
          <w:rFonts w:ascii="Browallia New" w:hAnsi="Browallia New" w:cs="Browallia New"/>
          <w:b/>
          <w:bCs/>
          <w:sz w:val="28"/>
        </w:rPr>
      </w:pPr>
    </w:p>
    <w:p w:rsidR="00643429" w:rsidRPr="00643429" w:rsidRDefault="00A12389" w:rsidP="00971E21">
      <w:pPr>
        <w:ind w:right="-766" w:firstLine="720"/>
        <w:jc w:val="thaiDistribute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>เพื่อให้การปฏิบัติงานของสมาชิกที่เกี่ยวกับการดำเนินงานของสมาชิกในเรื่องต่างๆ ดำเนินไปอย่างต่อเนื่อง และเป็นประโยชน์จาการดำเนินการร่วมกัน โดยความเห็นชอบและสอดคล้องกับข้อบังคับตลาดหลักทรัพย์แห่งประเทศไทยเรื่อง ข้อกำหนดเกี่ยวกับสมาชิก</w:t>
      </w:r>
      <w:r>
        <w:rPr>
          <w:rFonts w:ascii="Browallia New" w:hAnsi="Browallia New" w:cs="Browallia New"/>
          <w:sz w:val="30"/>
          <w:szCs w:val="30"/>
        </w:rPr>
        <w:t xml:space="preserve">  </w:t>
      </w:r>
      <w:r>
        <w:rPr>
          <w:rFonts w:ascii="Browallia New" w:hAnsi="Browallia New" w:cs="Browallia New" w:hint="cs"/>
          <w:sz w:val="30"/>
          <w:szCs w:val="30"/>
          <w:cs/>
        </w:rPr>
        <w:t>สมาคมบริษัทหลักทรัพย์ไทย</w:t>
      </w:r>
      <w:r w:rsidR="00957E5E">
        <w:rPr>
          <w:rFonts w:ascii="Browallia New" w:hAnsi="Browallia New" w:cs="Browallia New" w:hint="cs"/>
          <w:sz w:val="30"/>
          <w:szCs w:val="30"/>
          <w:cs/>
        </w:rPr>
        <w:t xml:space="preserve"> (สมาคมฯ) </w:t>
      </w:r>
      <w:r w:rsidR="00971E21">
        <w:rPr>
          <w:rFonts w:ascii="Browallia New" w:hAnsi="Browallia New" w:cs="Browallia New" w:hint="cs"/>
          <w:sz w:val="30"/>
          <w:szCs w:val="30"/>
          <w:cs/>
        </w:rPr>
        <w:t xml:space="preserve">         </w:t>
      </w:r>
      <w:r>
        <w:rPr>
          <w:rFonts w:ascii="Browallia New" w:hAnsi="Browallia New" w:cs="Browallia New" w:hint="cs"/>
          <w:sz w:val="30"/>
          <w:szCs w:val="30"/>
          <w:cs/>
        </w:rPr>
        <w:t>จึงกำหนดหลักเกณฑ์และจรรยาบรรณในการประกอบธุรกิจหลักทรัพย์</w:t>
      </w:r>
      <w:r w:rsidR="00C647CA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>เพื่อให้สมาชิกถือปฏิบัติในเรื่องต่างๆ ดังนี้</w:t>
      </w:r>
    </w:p>
    <w:p w:rsidR="00643429" w:rsidRPr="00DF1922" w:rsidRDefault="00643429" w:rsidP="00643429">
      <w:pPr>
        <w:ind w:left="720" w:hanging="720"/>
        <w:rPr>
          <w:rFonts w:ascii="Browallia New" w:hAnsi="Browallia New" w:cs="Browallia New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02"/>
      </w:tblGrid>
      <w:tr w:rsidR="004306CB" w:rsidRPr="00D763F9" w:rsidTr="003936D5">
        <w:trPr>
          <w:tblHeader/>
        </w:trPr>
        <w:tc>
          <w:tcPr>
            <w:tcW w:w="4820" w:type="dxa"/>
            <w:shd w:val="clear" w:color="auto" w:fill="auto"/>
          </w:tcPr>
          <w:p w:rsidR="004306CB" w:rsidRPr="00D763F9" w:rsidRDefault="004306CB" w:rsidP="00D763F9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D763F9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4502" w:type="dxa"/>
            <w:shd w:val="clear" w:color="auto" w:fill="auto"/>
          </w:tcPr>
          <w:p w:rsidR="004306CB" w:rsidRPr="00D763F9" w:rsidRDefault="00765461" w:rsidP="00D763F9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หลักเกณฑ์</w:t>
            </w:r>
          </w:p>
        </w:tc>
      </w:tr>
      <w:tr w:rsidR="004306CB" w:rsidRPr="00D763F9" w:rsidTr="003936D5"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4306CB" w:rsidRPr="00D763F9" w:rsidRDefault="002D3CE3" w:rsidP="004F6C07">
            <w:pPr>
              <w:spacing w:before="120"/>
              <w:ind w:left="284" w:hanging="284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1.</w:t>
            </w:r>
            <w:r w:rsidR="004306CB" w:rsidRPr="00D763F9">
              <w:rPr>
                <w:rFonts w:ascii="Browallia New" w:hAnsi="Browallia New" w:cs="Browallia New"/>
                <w:sz w:val="30"/>
                <w:szCs w:val="30"/>
              </w:rPr>
              <w:tab/>
            </w:r>
            <w:r w:rsidR="00387E63" w:rsidRPr="00387E63">
              <w:rPr>
                <w:rFonts w:ascii="Browallia New" w:hAnsi="Browallia New" w:cs="Browallia New" w:hint="cs"/>
                <w:sz w:val="30"/>
                <w:szCs w:val="30"/>
                <w:cs/>
              </w:rPr>
              <w:t>การคิดอัตราดอกเบี้ยเงินให้กู้ยืมสำหรับลูกค้าเพื่อซื้อขายหลักทรัพย์สำหรับบัญชี</w:t>
            </w:r>
            <w:r w:rsidR="00387E63" w:rsidRPr="00387E6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="00387E63" w:rsidRPr="00387E63">
              <w:rPr>
                <w:rFonts w:ascii="Browallia New" w:hAnsi="Browallia New" w:cs="Browallia New"/>
                <w:sz w:val="30"/>
                <w:szCs w:val="30"/>
              </w:rPr>
              <w:t xml:space="preserve">Credit Balance </w:t>
            </w:r>
            <w:r w:rsidR="00387E63" w:rsidRPr="00387E63">
              <w:rPr>
                <w:rFonts w:ascii="Browallia New" w:hAnsi="Browallia New" w:cs="Browallia New" w:hint="cs"/>
                <w:sz w:val="30"/>
                <w:szCs w:val="30"/>
                <w:cs/>
              </w:rPr>
              <w:t>หรือการให้บริการลูกค้าในการซื้อขายสัญญาซื้อขายล่วงหน้าโดยมีข้อตกลงซื้อขายแบบ</w:t>
            </w:r>
            <w:r w:rsidR="00387E63" w:rsidRPr="00387E63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  <w:r w:rsidR="00387E63" w:rsidRPr="00387E63">
              <w:rPr>
                <w:rFonts w:ascii="Browallia New" w:hAnsi="Browallia New" w:cs="Browallia New"/>
                <w:sz w:val="30"/>
                <w:szCs w:val="30"/>
              </w:rPr>
              <w:t>Block Trade</w:t>
            </w:r>
            <w:r w:rsidR="00387E63">
              <w:rPr>
                <w:rStyle w:val="FootnoteReference"/>
                <w:rFonts w:ascii="Browallia New" w:hAnsi="Browallia New" w:cs="Browallia New"/>
                <w:sz w:val="30"/>
                <w:szCs w:val="30"/>
              </w:rPr>
              <w:footnoteReference w:id="1"/>
            </w:r>
          </w:p>
        </w:tc>
        <w:tc>
          <w:tcPr>
            <w:tcW w:w="4502" w:type="dxa"/>
            <w:tcBorders>
              <w:bottom w:val="nil"/>
            </w:tcBorders>
            <w:shd w:val="clear" w:color="auto" w:fill="auto"/>
          </w:tcPr>
          <w:p w:rsidR="004306CB" w:rsidRPr="00D763F9" w:rsidRDefault="0046755F" w:rsidP="004F6C07">
            <w:pPr>
              <w:spacing w:before="120"/>
              <w:ind w:left="275" w:hanging="275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-</w:t>
            </w:r>
            <w:r w:rsidR="004306CB" w:rsidRPr="00D763F9">
              <w:rPr>
                <w:rFonts w:ascii="Browallia New" w:hAnsi="Browallia New" w:cs="Browallia New"/>
                <w:sz w:val="30"/>
                <w:szCs w:val="30"/>
              </w:rPr>
              <w:tab/>
            </w:r>
            <w:r w:rsidR="00387E63" w:rsidRPr="00387E63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สมาชิกต้องคิดอัตราดอกเบี้ยไม่ต่ำกว่าค่าเฉลี่ยของอัตราดอกเบี้ยสำหรับลูกค้าชั้นดี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MOR) </w:t>
            </w:r>
            <w:r w:rsidR="00387E63" w:rsidRPr="00387E63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ของธนาคารพาณิชย์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4 </w:t>
            </w:r>
            <w:r w:rsidR="00387E63" w:rsidRPr="00387E63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แห่ง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87E63" w:rsidRPr="00387E63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คือ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87E63" w:rsidRPr="00387E63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ธนาคารกรุงเทพ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BBL) </w:t>
            </w:r>
            <w:r w:rsidR="00387E63" w:rsidRPr="00387E63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ธนาคารกรุงไทย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KTB) </w:t>
            </w:r>
            <w:r w:rsidR="00387E63" w:rsidRPr="00387E63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ธนาคารกสิกรไทย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KBANK) </w:t>
            </w:r>
            <w:r w:rsidR="00387E63" w:rsidRPr="00387E63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และธนาคารไทยพาณิชย์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SCB) </w:t>
            </w:r>
            <w:r w:rsidR="00387E63" w:rsidRPr="00387E63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ณ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87E63" w:rsidRPr="00387E63">
              <w:rPr>
                <w:rFonts w:ascii="Browallia New" w:hAnsi="Browallia New" w:cs="Browallia New" w:hint="cs"/>
                <w:color w:val="000000" w:themeColor="text1"/>
                <w:sz w:val="30"/>
                <w:szCs w:val="30"/>
                <w:cs/>
              </w:rPr>
              <w:t>วันทำการสุดท้ายของเดือนก่อนหน้าลบ</w:t>
            </w:r>
            <w:r w:rsid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2</w:t>
            </w:r>
            <w:r w:rsidR="00387E63" w:rsidRPr="00387E63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%</w:t>
            </w:r>
          </w:p>
          <w:p w:rsidR="002D3CE3" w:rsidRPr="00D763F9" w:rsidRDefault="0046755F" w:rsidP="004F6C07">
            <w:pPr>
              <w:spacing w:before="120"/>
              <w:ind w:left="275" w:firstLine="284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สำหรับดอกเบี้ยรับของลูกค้าต้องไม่เกินต้นทุนเงินฝากของบริษัท</w:t>
            </w:r>
          </w:p>
        </w:tc>
      </w:tr>
      <w:tr w:rsidR="0046755F" w:rsidRPr="00D763F9" w:rsidTr="003936D5"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46755F" w:rsidRPr="00D763F9" w:rsidRDefault="0046755F" w:rsidP="002659D4">
            <w:pPr>
              <w:spacing w:before="160"/>
              <w:ind w:left="284" w:hanging="284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2.</w:t>
            </w:r>
            <w:r w:rsidRPr="00D763F9">
              <w:rPr>
                <w:rFonts w:ascii="Browallia New" w:hAnsi="Browallia New" w:cs="Browallia New"/>
                <w:sz w:val="30"/>
                <w:szCs w:val="30"/>
              </w:rPr>
              <w:tab/>
            </w: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การโอนรายการผิดพลาด (</w:t>
            </w:r>
            <w:r w:rsidRPr="00D763F9">
              <w:rPr>
                <w:rFonts w:ascii="Browallia New" w:hAnsi="Browallia New" w:cs="Browallia New"/>
                <w:sz w:val="30"/>
                <w:szCs w:val="30"/>
              </w:rPr>
              <w:t xml:space="preserve">Error) </w:t>
            </w: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ที่เท่าทุนหรือขาดทุนเข้าบัญชีบริษัท (</w:t>
            </w:r>
            <w:r w:rsidRPr="00D763F9">
              <w:rPr>
                <w:rFonts w:ascii="Browallia New" w:hAnsi="Browallia New" w:cs="Browallia New"/>
                <w:sz w:val="30"/>
                <w:szCs w:val="30"/>
              </w:rPr>
              <w:t>error port)</w:t>
            </w:r>
          </w:p>
        </w:tc>
        <w:tc>
          <w:tcPr>
            <w:tcW w:w="4502" w:type="dxa"/>
            <w:tcBorders>
              <w:top w:val="nil"/>
              <w:bottom w:val="nil"/>
            </w:tcBorders>
            <w:shd w:val="clear" w:color="auto" w:fill="auto"/>
          </w:tcPr>
          <w:p w:rsidR="00E3774C" w:rsidRPr="00E3774C" w:rsidRDefault="0046755F" w:rsidP="002659D4">
            <w:pPr>
              <w:spacing w:before="160"/>
              <w:ind w:left="275" w:hanging="275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-</w:t>
            </w:r>
            <w:r w:rsidRPr="00D763F9"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 w:rsidR="0083654A"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สมาชิกต้องพิจารณาว่าเป็นรายการที่ผิดพลาดจริง โดยบริษัทต้องมีขั้นตอนการอนุมัติรายการ </w:t>
            </w:r>
            <w:r w:rsidR="0083654A" w:rsidRPr="00D763F9">
              <w:rPr>
                <w:rFonts w:ascii="Browallia New" w:hAnsi="Browallia New" w:cs="Browallia New"/>
                <w:sz w:val="30"/>
                <w:szCs w:val="30"/>
              </w:rPr>
              <w:t xml:space="preserve">Error </w:t>
            </w:r>
            <w:r w:rsidR="0083654A"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และมีการจัดเก็บเอกสารหลักฐานประกอบการอนุมัติรายการว่าเป็นรายการผิดพลาดจริง โดยสุ่มตรวจสอบเทปบันทึกคำสั่งซื้อขายรายการ </w:t>
            </w:r>
            <w:r w:rsidR="0083654A" w:rsidRPr="00D763F9">
              <w:rPr>
                <w:rFonts w:ascii="Browallia New" w:hAnsi="Browallia New" w:cs="Browallia New"/>
                <w:sz w:val="30"/>
                <w:szCs w:val="30"/>
              </w:rPr>
              <w:t xml:space="preserve">Error </w:t>
            </w:r>
            <w:r w:rsidR="0083654A"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อย่างสม่ำเสม</w:t>
            </w:r>
            <w:r w:rsidR="002659D4">
              <w:rPr>
                <w:rFonts w:ascii="Browallia New" w:hAnsi="Browallia New" w:cs="Browallia New" w:hint="cs"/>
                <w:sz w:val="30"/>
                <w:szCs w:val="30"/>
                <w:cs/>
              </w:rPr>
              <w:t>อ</w:t>
            </w:r>
          </w:p>
        </w:tc>
      </w:tr>
      <w:tr w:rsidR="0083654A" w:rsidRPr="00D763F9" w:rsidTr="003936D5"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654A" w:rsidRPr="00D763F9" w:rsidRDefault="002D3CE3" w:rsidP="002659D4">
            <w:pPr>
              <w:spacing w:before="160"/>
              <w:ind w:left="284" w:hanging="284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3.</w:t>
            </w:r>
            <w:r w:rsidRPr="00D763F9"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การออกค่าใช้จ่ายที่ไม่สมควรหรือเกินสมควรให้แก่ลูกค้า เช่น การติดตั้งให้ยืมหรือให้เช่าอุปกรณ์การสื่อสาร ระบบบริการข้อมูล รวมทั้งออกค่าใช้จ่ายรายเดือนหรือค่าใช้จ่ายในการติดตั้งและต่อเชื่อมสายให้แก่ลูกค้า</w:t>
            </w:r>
          </w:p>
        </w:tc>
        <w:tc>
          <w:tcPr>
            <w:tcW w:w="45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C48" w:rsidRPr="00D763F9" w:rsidRDefault="00B956D4" w:rsidP="002659D4">
            <w:pPr>
              <w:spacing w:before="160"/>
              <w:ind w:left="275" w:hanging="275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-</w:t>
            </w:r>
            <w:r w:rsidRPr="00D763F9"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สมาชิกต้องไม่จ่ายค่าใช้จ่ายที่ไม่สมควรหรือเกินสมควรให้กับลูกค้า หากบริษัทเป็นผู้ทำสัญญากับผู้ให้บริการ  บริษัทต้องมีการเรียกเก็บค่าใช้จ่าย</w:t>
            </w:r>
            <w:r w:rsidR="000363B8"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จากข้อมูลที่ลูกค้าใช้งาน และบริษัทมีการตรวจสอบแหล่งที่มาของการใช้บริการข้อมูลว่าเป็นข้อมูลประเภทใดบ้าง และสถานที่ใช้งานของข้อมูล</w:t>
            </w:r>
          </w:p>
        </w:tc>
      </w:tr>
    </w:tbl>
    <w:p w:rsidR="003936D5" w:rsidRDefault="003936D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02"/>
      </w:tblGrid>
      <w:tr w:rsidR="003936D5" w:rsidRPr="00D763F9" w:rsidTr="003936D5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D5" w:rsidRPr="00D763F9" w:rsidRDefault="003936D5" w:rsidP="003936D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D763F9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lastRenderedPageBreak/>
              <w:t>เรื่อง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6D5" w:rsidRPr="00D763F9" w:rsidRDefault="003936D5" w:rsidP="003936D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หลักเกณฑ์</w:t>
            </w:r>
          </w:p>
        </w:tc>
      </w:tr>
      <w:tr w:rsidR="000363B8" w:rsidRPr="00D763F9" w:rsidTr="003936D5"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63B8" w:rsidRPr="00D763F9" w:rsidRDefault="000363B8" w:rsidP="002659D4">
            <w:pPr>
              <w:spacing w:before="160"/>
              <w:ind w:left="284" w:hanging="284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4.</w:t>
            </w:r>
            <w:r w:rsidRPr="00D763F9"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การส่งคำสั่งซื้อขายหลักทรัพย์ระบบ </w:t>
            </w:r>
            <w:r w:rsidRPr="00D763F9">
              <w:rPr>
                <w:rFonts w:ascii="Browallia New" w:hAnsi="Browallia New" w:cs="Browallia New"/>
                <w:sz w:val="30"/>
                <w:szCs w:val="30"/>
              </w:rPr>
              <w:t xml:space="preserve">Internet </w:t>
            </w: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ที่ไม่เป็นไปตามเกณฑ์ของตลาดหลักทรัพย์ฯ เช่น การส่งคำสั่งโดยผู้แนะนำการลงทุนแทนลูกค้า</w:t>
            </w:r>
            <w:r w:rsidR="00420AA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เป็นต้น</w:t>
            </w:r>
          </w:p>
        </w:tc>
        <w:tc>
          <w:tcPr>
            <w:tcW w:w="45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63B8" w:rsidRPr="00607C48" w:rsidRDefault="000363B8" w:rsidP="00000EA1">
            <w:pPr>
              <w:spacing w:before="160"/>
              <w:ind w:left="275" w:hanging="275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D763F9">
              <w:rPr>
                <w:rFonts w:ascii="Browallia New" w:hAnsi="Browallia New" w:cs="Browallia New" w:hint="cs"/>
                <w:sz w:val="30"/>
                <w:szCs w:val="30"/>
                <w:cs/>
              </w:rPr>
              <w:t>-</w:t>
            </w:r>
            <w:r w:rsidRPr="00D763F9"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 w:rsidR="00607C48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บริษัทต้องจัดให้มีการแบ่งแยก </w:t>
            </w:r>
            <w:r w:rsidR="00607C48">
              <w:rPr>
                <w:rFonts w:ascii="Browallia New" w:hAnsi="Browallia New" w:cs="Browallia New"/>
                <w:sz w:val="30"/>
                <w:szCs w:val="30"/>
              </w:rPr>
              <w:t xml:space="preserve">Network </w:t>
            </w:r>
            <w:r w:rsidR="00607C48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ของการใช้งานระบบ </w:t>
            </w:r>
            <w:r w:rsidR="00607C48">
              <w:rPr>
                <w:rFonts w:ascii="Browallia New" w:hAnsi="Browallia New" w:cs="Browallia New"/>
                <w:sz w:val="30"/>
                <w:szCs w:val="30"/>
              </w:rPr>
              <w:t>Inter</w:t>
            </w:r>
            <w:r w:rsidR="00000EA1">
              <w:rPr>
                <w:rFonts w:ascii="Browallia New" w:hAnsi="Browallia New" w:cs="Browallia New"/>
                <w:sz w:val="30"/>
                <w:szCs w:val="30"/>
              </w:rPr>
              <w:t>ne</w:t>
            </w:r>
            <w:r w:rsidR="00607C48">
              <w:rPr>
                <w:rFonts w:ascii="Browallia New" w:hAnsi="Browallia New" w:cs="Browallia New"/>
                <w:sz w:val="30"/>
                <w:szCs w:val="30"/>
              </w:rPr>
              <w:t xml:space="preserve">t </w:t>
            </w:r>
            <w:r w:rsidR="00607C48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ที่ให้บริการลูกค้ากับพนักงาน และมีข้อมูลแหล่งที่มาของการส่งคำสั่งซื้อขายหลักทรัพย์</w:t>
            </w:r>
          </w:p>
        </w:tc>
      </w:tr>
      <w:tr w:rsidR="00607C48" w:rsidRPr="00D763F9" w:rsidTr="003936D5"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C48" w:rsidRDefault="00607C48" w:rsidP="00E3774C">
            <w:pPr>
              <w:spacing w:before="120"/>
              <w:ind w:left="284" w:hanging="284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5.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การจ่ายผลตอบแทนให้แก่ผู้แนะนำการลงทุน ผู้จัดการสาขา และหัวหน้าทีมการตลาดที่ไม่เป็นไปตามเกณฑ์ประกาศของสมาคมบริษัทหลักทรัพย์ไทยกำหนด </w:t>
            </w:r>
          </w:p>
          <w:p w:rsidR="00607C48" w:rsidRPr="00607C48" w:rsidRDefault="00607C48" w:rsidP="00E3774C">
            <w:pPr>
              <w:spacing w:before="120"/>
              <w:ind w:left="284" w:hanging="284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(ประกาศสมาคมฯที่ บล. 515/2554 ลงวันที่ 30 ธ.ค. 2554)</w:t>
            </w:r>
          </w:p>
        </w:tc>
        <w:tc>
          <w:tcPr>
            <w:tcW w:w="45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C48" w:rsidRPr="00607C48" w:rsidRDefault="00607C48" w:rsidP="00E3774C">
            <w:pPr>
              <w:spacing w:before="120"/>
              <w:ind w:left="275" w:hanging="275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-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สมาชิก</w:t>
            </w:r>
            <w:r w:rsidR="009F6832">
              <w:rPr>
                <w:rFonts w:ascii="Browallia New" w:hAnsi="Browallia New" w:cs="Browallia New" w:hint="cs"/>
                <w:sz w:val="30"/>
                <w:szCs w:val="30"/>
                <w:cs/>
              </w:rPr>
              <w:t>ต้อง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มีระบบควบคุมและสอบทานในการกำหนดเงินเดือน และการคำนวณจ่าย 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Incentive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และโบนัส (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Profit)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ให้เป็นไปตามเกณฑ์ที่สมาคมฯกำหนด</w:t>
            </w:r>
          </w:p>
        </w:tc>
      </w:tr>
      <w:tr w:rsidR="00607C48" w:rsidRPr="00D763F9" w:rsidTr="003936D5"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07C48" w:rsidRDefault="00607C48" w:rsidP="00957E5E">
            <w:pPr>
              <w:spacing w:before="120"/>
              <w:ind w:left="284" w:hanging="284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6.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การจัดกิจกรรมส่งเสริมการขายของบริษัท</w:t>
            </w:r>
          </w:p>
          <w:p w:rsidR="00607C48" w:rsidRPr="00607C48" w:rsidRDefault="00607C48" w:rsidP="00236194">
            <w:pPr>
              <w:spacing w:before="120"/>
              <w:ind w:left="284" w:hanging="284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(ประกาศสมาคมฯที่ บล. 085/2554 ลงวันที่ 25 ก.พ. 2554</w:t>
            </w:r>
            <w:r w:rsidR="008353E3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บล.056/2555 ลงวันที่ 24 ก.พ. 2555 </w:t>
            </w:r>
            <w:r w:rsidR="00236194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8353E3">
              <w:rPr>
                <w:rFonts w:ascii="Browallia New" w:hAnsi="Browallia New" w:cs="Browallia New" w:hint="cs"/>
                <w:sz w:val="30"/>
                <w:szCs w:val="30"/>
                <w:cs/>
              </w:rPr>
              <w:t>บล.106/2555 ลงวันที่ 30 มี.ค. 2555</w:t>
            </w:r>
            <w:r w:rsidR="00236194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และ บล.413/2555 ลงวันที่ 20 พ.ย. 2555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)</w:t>
            </w:r>
          </w:p>
        </w:tc>
        <w:tc>
          <w:tcPr>
            <w:tcW w:w="4502" w:type="dxa"/>
            <w:tcBorders>
              <w:top w:val="nil"/>
              <w:bottom w:val="nil"/>
            </w:tcBorders>
            <w:shd w:val="clear" w:color="auto" w:fill="auto"/>
          </w:tcPr>
          <w:p w:rsidR="00607C48" w:rsidRDefault="00607C48" w:rsidP="009F6832">
            <w:pPr>
              <w:spacing w:before="120"/>
              <w:ind w:left="275" w:hanging="275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-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สมาชิกต้องปฏิบัติตามประกาศสมาคมฯเรื่อง การจัดกิจกรรมส่งเสริมการขายภายใต้กรอบของการประกอบธุรกิจที่เหมาะสม </w:t>
            </w:r>
          </w:p>
        </w:tc>
      </w:tr>
      <w:tr w:rsidR="008353E3" w:rsidRPr="00D763F9" w:rsidTr="003936D5">
        <w:tc>
          <w:tcPr>
            <w:tcW w:w="4820" w:type="dxa"/>
            <w:tcBorders>
              <w:top w:val="nil"/>
            </w:tcBorders>
            <w:shd w:val="clear" w:color="auto" w:fill="auto"/>
          </w:tcPr>
          <w:p w:rsidR="00971E21" w:rsidRDefault="00DF1922" w:rsidP="008067C7">
            <w:pPr>
              <w:spacing w:before="120"/>
              <w:ind w:left="284" w:hanging="284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7.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 w:rsidR="006913EB">
              <w:rPr>
                <w:rFonts w:ascii="Browallia New" w:hAnsi="Browallia New" w:cs="Browallia New" w:hint="cs"/>
                <w:sz w:val="30"/>
                <w:szCs w:val="30"/>
                <w:cs/>
              </w:rPr>
              <w:t>จำนวนนักวิเคราะห์หลักทรัพย์</w:t>
            </w:r>
          </w:p>
          <w:p w:rsidR="008353E3" w:rsidRPr="008353E3" w:rsidRDefault="00971E21" w:rsidP="006913EB">
            <w:pPr>
              <w:spacing w:before="120"/>
              <w:ind w:left="284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</w:p>
        </w:tc>
        <w:tc>
          <w:tcPr>
            <w:tcW w:w="4502" w:type="dxa"/>
            <w:tcBorders>
              <w:top w:val="nil"/>
            </w:tcBorders>
            <w:shd w:val="clear" w:color="auto" w:fill="auto"/>
          </w:tcPr>
          <w:p w:rsidR="00E3774C" w:rsidRDefault="00DF1922" w:rsidP="006913EB">
            <w:pPr>
              <w:spacing w:before="120"/>
              <w:ind w:left="275" w:hanging="275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-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tab/>
            </w:r>
            <w:r w:rsidR="00971E21">
              <w:rPr>
                <w:rFonts w:ascii="Browallia New" w:hAnsi="Browallia New" w:cs="Browallia New" w:hint="cs"/>
                <w:sz w:val="30"/>
                <w:szCs w:val="30"/>
                <w:cs/>
              </w:rPr>
              <w:t>สมาชิกต้องมีนักวิเคราะห์ปัจจัยพื้นฐานไม่ต่ำกว่า 4 คน</w:t>
            </w:r>
          </w:p>
        </w:tc>
      </w:tr>
    </w:tbl>
    <w:p w:rsidR="006D7555" w:rsidRPr="0047748A" w:rsidRDefault="006D7555" w:rsidP="00643429">
      <w:pPr>
        <w:rPr>
          <w:rFonts w:ascii="Browallia New" w:hAnsi="Browallia New" w:cs="Browallia New"/>
          <w:sz w:val="40"/>
          <w:szCs w:val="40"/>
        </w:rPr>
      </w:pPr>
    </w:p>
    <w:p w:rsidR="00D677F0" w:rsidRPr="00D677F0" w:rsidRDefault="00D677F0" w:rsidP="00D677F0">
      <w:pPr>
        <w:spacing w:before="360"/>
        <w:ind w:right="-85"/>
        <w:rPr>
          <w:rFonts w:ascii="Browallia New" w:hAnsi="Browallia New" w:cs="Browallia New"/>
          <w:sz w:val="30"/>
          <w:szCs w:val="30"/>
          <w:cs/>
        </w:rPr>
      </w:pPr>
      <w:r w:rsidRPr="00D677F0">
        <w:rPr>
          <w:rFonts w:ascii="Browallia New" w:hAnsi="Browallia New" w:cs="Browallia New"/>
          <w:sz w:val="30"/>
          <w:szCs w:val="30"/>
          <w:cs/>
        </w:rPr>
        <w:t xml:space="preserve">ประกาศนี้มีผลบังคับตั้งแต่วันที่ 1 มกราคม </w:t>
      </w:r>
      <w:r w:rsidR="0080750D">
        <w:rPr>
          <w:rFonts w:ascii="Browallia New" w:hAnsi="Browallia New" w:cs="Browallia New" w:hint="cs"/>
          <w:sz w:val="30"/>
          <w:szCs w:val="30"/>
          <w:cs/>
        </w:rPr>
        <w:t>2556</w:t>
      </w:r>
      <w:r w:rsidRPr="00D677F0">
        <w:rPr>
          <w:rFonts w:ascii="Browallia New" w:hAnsi="Browallia New" w:cs="Browallia New"/>
          <w:sz w:val="30"/>
          <w:szCs w:val="30"/>
          <w:cs/>
        </w:rPr>
        <w:t xml:space="preserve"> เป็นต้นไป</w:t>
      </w:r>
    </w:p>
    <w:p w:rsidR="00D677F0" w:rsidRPr="00D677F0" w:rsidRDefault="00D677F0" w:rsidP="00D677F0">
      <w:pPr>
        <w:tabs>
          <w:tab w:val="left" w:pos="1080"/>
        </w:tabs>
        <w:jc w:val="thaiDistribute"/>
        <w:rPr>
          <w:rFonts w:ascii="Browallia New" w:hAnsi="Browallia New" w:cs="Browallia New"/>
          <w:sz w:val="20"/>
          <w:szCs w:val="20"/>
        </w:rPr>
      </w:pPr>
    </w:p>
    <w:p w:rsidR="00D677F0" w:rsidRDefault="00D677F0" w:rsidP="00D677F0">
      <w:pPr>
        <w:tabs>
          <w:tab w:val="left" w:pos="1080"/>
        </w:tabs>
        <w:jc w:val="thaiDistribute"/>
        <w:rPr>
          <w:rFonts w:ascii="Browallia New" w:hAnsi="Browallia New" w:cs="Browallia New"/>
          <w:sz w:val="20"/>
          <w:szCs w:val="20"/>
        </w:rPr>
      </w:pPr>
    </w:p>
    <w:p w:rsidR="00D677F0" w:rsidRPr="00D677F0" w:rsidRDefault="00D677F0" w:rsidP="00D677F0">
      <w:pPr>
        <w:tabs>
          <w:tab w:val="left" w:pos="1080"/>
        </w:tabs>
        <w:jc w:val="thaiDistribute"/>
        <w:rPr>
          <w:rFonts w:ascii="Browallia New" w:hAnsi="Browallia New" w:cs="Browallia New"/>
          <w:sz w:val="20"/>
          <w:szCs w:val="20"/>
        </w:rPr>
      </w:pPr>
    </w:p>
    <w:p w:rsidR="00D677F0" w:rsidRPr="00D677F0" w:rsidRDefault="00D677F0" w:rsidP="00D677F0">
      <w:pPr>
        <w:pStyle w:val="BodyText"/>
        <w:tabs>
          <w:tab w:val="left" w:pos="567"/>
          <w:tab w:val="center" w:pos="5812"/>
        </w:tabs>
        <w:spacing w:after="0"/>
        <w:ind w:right="-653"/>
        <w:rPr>
          <w:rFonts w:ascii="Browallia New" w:hAnsi="Browallia New" w:cs="Browallia New"/>
          <w:sz w:val="30"/>
          <w:szCs w:val="30"/>
        </w:rPr>
      </w:pPr>
      <w:r w:rsidRPr="00D677F0">
        <w:rPr>
          <w:rFonts w:ascii="Browallia New" w:hAnsi="Browallia New" w:cs="Browallia New"/>
          <w:sz w:val="30"/>
          <w:szCs w:val="30"/>
          <w:cs/>
        </w:rPr>
        <w:tab/>
      </w:r>
      <w:r w:rsidRPr="00D677F0">
        <w:rPr>
          <w:rFonts w:ascii="Browallia New" w:hAnsi="Browallia New" w:cs="Browallia New"/>
          <w:sz w:val="30"/>
          <w:szCs w:val="30"/>
          <w:cs/>
        </w:rPr>
        <w:tab/>
        <w:t>ประกาศ ณ วันที่ 2</w:t>
      </w:r>
      <w:r w:rsidR="004846CB">
        <w:rPr>
          <w:rFonts w:ascii="Browallia New" w:hAnsi="Browallia New" w:cs="Browallia New" w:hint="cs"/>
          <w:sz w:val="30"/>
          <w:szCs w:val="30"/>
          <w:cs/>
        </w:rPr>
        <w:t>8</w:t>
      </w:r>
      <w:r w:rsidRPr="00D677F0">
        <w:rPr>
          <w:rFonts w:ascii="Browallia New" w:hAnsi="Browallia New" w:cs="Browallia New"/>
          <w:sz w:val="30"/>
          <w:szCs w:val="30"/>
          <w:cs/>
        </w:rPr>
        <w:t xml:space="preserve"> พฤศจิกายน 2555</w:t>
      </w:r>
    </w:p>
    <w:p w:rsidR="00D677F0" w:rsidRPr="00D677F0" w:rsidRDefault="00D677F0" w:rsidP="00D677F0">
      <w:pPr>
        <w:pStyle w:val="BodyText"/>
        <w:tabs>
          <w:tab w:val="left" w:pos="567"/>
          <w:tab w:val="center" w:pos="5760"/>
        </w:tabs>
        <w:spacing w:after="0"/>
        <w:rPr>
          <w:rFonts w:ascii="Browallia New" w:hAnsi="Browallia New" w:cs="Browallia New"/>
          <w:sz w:val="30"/>
          <w:szCs w:val="30"/>
        </w:rPr>
      </w:pPr>
      <w:r w:rsidRPr="00D677F0">
        <w:rPr>
          <w:rFonts w:ascii="Browallia New" w:hAnsi="Browallia New" w:cs="Browallia New"/>
          <w:sz w:val="30"/>
          <w:szCs w:val="30"/>
          <w:cs/>
        </w:rPr>
        <w:tab/>
      </w:r>
      <w:r w:rsidRPr="00D677F0">
        <w:rPr>
          <w:rFonts w:ascii="Browallia New" w:hAnsi="Browallia New" w:cs="Browallia New"/>
          <w:sz w:val="30"/>
          <w:szCs w:val="30"/>
          <w:cs/>
        </w:rPr>
        <w:tab/>
      </w:r>
    </w:p>
    <w:p w:rsidR="00D677F0" w:rsidRPr="00D677F0" w:rsidRDefault="00D677F0" w:rsidP="00D677F0">
      <w:pPr>
        <w:pStyle w:val="BodyText"/>
        <w:tabs>
          <w:tab w:val="left" w:pos="567"/>
          <w:tab w:val="center" w:pos="5400"/>
        </w:tabs>
        <w:spacing w:after="0"/>
        <w:rPr>
          <w:rFonts w:ascii="Browallia New" w:eastAsia="MS Mincho" w:hAnsi="Browallia New" w:cs="Browallia New"/>
          <w:sz w:val="30"/>
          <w:szCs w:val="30"/>
          <w:lang w:eastAsia="ja-JP"/>
        </w:rPr>
      </w:pPr>
    </w:p>
    <w:p w:rsidR="00D677F0" w:rsidRPr="00D677F0" w:rsidRDefault="00D677F0" w:rsidP="00D677F0">
      <w:pPr>
        <w:pStyle w:val="BodyText"/>
        <w:tabs>
          <w:tab w:val="left" w:pos="567"/>
          <w:tab w:val="center" w:pos="5400"/>
        </w:tabs>
        <w:spacing w:after="0"/>
        <w:rPr>
          <w:rFonts w:ascii="Browallia New" w:eastAsia="MS Mincho" w:hAnsi="Browallia New" w:cs="Browallia New"/>
          <w:sz w:val="30"/>
          <w:szCs w:val="30"/>
          <w:cs/>
          <w:lang w:eastAsia="ja-JP"/>
        </w:rPr>
      </w:pPr>
    </w:p>
    <w:p w:rsidR="00D677F0" w:rsidRPr="00D677F0" w:rsidRDefault="00D677F0" w:rsidP="00D677F0">
      <w:pPr>
        <w:tabs>
          <w:tab w:val="center" w:pos="5812"/>
        </w:tabs>
        <w:jc w:val="both"/>
        <w:rPr>
          <w:rFonts w:ascii="Browallia New" w:hAnsi="Browallia New" w:cs="Browallia New"/>
          <w:sz w:val="30"/>
          <w:szCs w:val="30"/>
        </w:rPr>
      </w:pPr>
      <w:r w:rsidRPr="00D677F0">
        <w:rPr>
          <w:rFonts w:ascii="Browallia New" w:hAnsi="Browallia New" w:cs="Browallia New"/>
          <w:sz w:val="30"/>
          <w:szCs w:val="30"/>
          <w:cs/>
        </w:rPr>
        <w:tab/>
        <w:t>(นางภัทธีรา  ดิลกรุ่งธีระภพ)</w:t>
      </w:r>
    </w:p>
    <w:p w:rsidR="00D677F0" w:rsidRPr="00D677F0" w:rsidRDefault="00D677F0" w:rsidP="00D677F0">
      <w:pPr>
        <w:pStyle w:val="BodyText"/>
        <w:tabs>
          <w:tab w:val="left" w:pos="567"/>
          <w:tab w:val="center" w:pos="5812"/>
        </w:tabs>
        <w:spacing w:after="0" w:line="340" w:lineRule="exact"/>
        <w:rPr>
          <w:rFonts w:ascii="Browallia New" w:hAnsi="Browallia New" w:cs="Browallia New"/>
          <w:sz w:val="30"/>
          <w:szCs w:val="30"/>
        </w:rPr>
      </w:pPr>
      <w:r w:rsidRPr="00D677F0">
        <w:rPr>
          <w:rFonts w:ascii="Browallia New" w:hAnsi="Browallia New" w:cs="Browallia New"/>
          <w:sz w:val="30"/>
          <w:szCs w:val="30"/>
          <w:cs/>
        </w:rPr>
        <w:t xml:space="preserve">      </w:t>
      </w:r>
      <w:r w:rsidRPr="00D677F0">
        <w:rPr>
          <w:rFonts w:ascii="Browallia New" w:hAnsi="Browallia New" w:cs="Browallia New"/>
          <w:sz w:val="30"/>
          <w:szCs w:val="30"/>
          <w:cs/>
        </w:rPr>
        <w:tab/>
      </w:r>
      <w:r w:rsidRPr="00D677F0">
        <w:rPr>
          <w:rFonts w:ascii="Browallia New" w:hAnsi="Browallia New" w:cs="Browallia New"/>
          <w:sz w:val="30"/>
          <w:szCs w:val="30"/>
          <w:cs/>
        </w:rPr>
        <w:tab/>
      </w:r>
      <w:r w:rsidRPr="00D677F0">
        <w:rPr>
          <w:rFonts w:ascii="Browallia New" w:eastAsia="MS Mincho" w:hAnsi="Browallia New" w:cs="Browallia New"/>
          <w:sz w:val="30"/>
          <w:szCs w:val="30"/>
          <w:cs/>
          <w:lang w:eastAsia="ja-JP"/>
        </w:rPr>
        <w:t>นายกสมาคม</w:t>
      </w:r>
    </w:p>
    <w:p w:rsidR="001E0341" w:rsidRPr="00D677F0" w:rsidRDefault="001E0341" w:rsidP="009F696D">
      <w:pPr>
        <w:rPr>
          <w:rFonts w:ascii="Browallia New" w:hAnsi="Browallia New" w:cs="Browallia New"/>
          <w:sz w:val="20"/>
          <w:szCs w:val="20"/>
        </w:rPr>
      </w:pPr>
    </w:p>
    <w:p w:rsidR="004F6C07" w:rsidRPr="00D677F0" w:rsidRDefault="004F6C07" w:rsidP="009F696D">
      <w:pPr>
        <w:rPr>
          <w:rFonts w:ascii="Browallia New" w:hAnsi="Browallia New" w:cs="Browallia New"/>
          <w:sz w:val="30"/>
          <w:szCs w:val="30"/>
        </w:rPr>
      </w:pPr>
    </w:p>
    <w:p w:rsidR="0011539E" w:rsidRDefault="0011539E" w:rsidP="009F696D">
      <w:pPr>
        <w:rPr>
          <w:rFonts w:ascii="Browallia New" w:hAnsi="Browallia New" w:cs="Browallia New"/>
          <w:sz w:val="30"/>
          <w:szCs w:val="30"/>
        </w:rPr>
      </w:pPr>
    </w:p>
    <w:sectPr w:rsidR="0011539E" w:rsidSect="00FE393B">
      <w:footerReference w:type="default" r:id="rId9"/>
      <w:pgSz w:w="11906" w:h="16838"/>
      <w:pgMar w:top="1134" w:right="1800" w:bottom="1418" w:left="180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13" w:rsidRDefault="00A84513" w:rsidP="00A87D06">
      <w:r>
        <w:separator/>
      </w:r>
    </w:p>
  </w:endnote>
  <w:endnote w:type="continuationSeparator" w:id="0">
    <w:p w:rsidR="00A84513" w:rsidRDefault="00A84513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8A" w:rsidRDefault="0047748A" w:rsidP="0047748A">
    <w:pPr>
      <w:pStyle w:val="Footer"/>
      <w:ind w:right="-483"/>
      <w:jc w:val="right"/>
      <w:rPr>
        <w:rFonts w:ascii="BrowalliaUPC" w:hAnsi="BrowalliaUPC" w:cs="BrowalliaUPC"/>
        <w:sz w:val="20"/>
        <w:szCs w:val="20"/>
      </w:rPr>
    </w:pPr>
    <w:r w:rsidRPr="0047748A">
      <w:rPr>
        <w:rFonts w:ascii="Browallia New" w:hAnsi="Browallia New" w:cs="Browallia New" w:hint="cs"/>
        <w:b/>
        <w:bCs/>
        <w:sz w:val="20"/>
        <w:szCs w:val="20"/>
        <w:cs/>
      </w:rPr>
      <w:t>หลักเกณฑ์และจรรยาบรรณในการประกอบธุรกิจหลักทรัพย์ของบริษัทสมาชิก</w:t>
    </w:r>
  </w:p>
  <w:p w:rsidR="0047748A" w:rsidRDefault="0047748A" w:rsidP="0047748A">
    <w:pPr>
      <w:pStyle w:val="Footer"/>
      <w:ind w:right="-483"/>
      <w:jc w:val="right"/>
    </w:pPr>
    <w:r w:rsidRPr="0047748A">
      <w:rPr>
        <w:rFonts w:ascii="BrowalliaUPC" w:hAnsi="BrowalliaUPC" w:cs="BrowalliaUPC"/>
        <w:sz w:val="20"/>
        <w:szCs w:val="20"/>
        <w:cs/>
      </w:rPr>
      <w:t>หน้า</w:t>
    </w:r>
    <w:r w:rsidRPr="0047748A">
      <w:rPr>
        <w:rFonts w:ascii="BrowalliaUPC" w:hAnsi="BrowalliaUPC" w:cs="BrowalliaUPC"/>
        <w:sz w:val="20"/>
        <w:szCs w:val="20"/>
      </w:rPr>
      <w:t xml:space="preserve"> 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PAGE </w:instrTex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1A0333">
      <w:rPr>
        <w:rFonts w:ascii="BrowalliaUPC" w:hAnsi="BrowalliaUPC" w:cs="BrowalliaUPC"/>
        <w:b/>
        <w:bCs/>
        <w:noProof/>
        <w:sz w:val="20"/>
        <w:szCs w:val="20"/>
      </w:rPr>
      <w:t>1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end"/>
    </w:r>
    <w:r w:rsidRPr="0047748A">
      <w:rPr>
        <w:rFonts w:ascii="BrowalliaUPC" w:hAnsi="BrowalliaUPC" w:cs="BrowalliaUPC"/>
        <w:sz w:val="20"/>
        <w:szCs w:val="20"/>
      </w:rPr>
      <w:t xml:space="preserve"> / 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NUMPAGES  </w:instrTex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1A0333">
      <w:rPr>
        <w:rFonts w:ascii="BrowalliaUPC" w:hAnsi="BrowalliaUPC" w:cs="BrowalliaUPC"/>
        <w:b/>
        <w:bCs/>
        <w:noProof/>
        <w:sz w:val="20"/>
        <w:szCs w:val="20"/>
      </w:rPr>
      <w:t>2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end"/>
    </w:r>
  </w:p>
  <w:p w:rsidR="0047748A" w:rsidRDefault="0047748A" w:rsidP="0047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13" w:rsidRDefault="00A84513" w:rsidP="00A87D06">
      <w:r>
        <w:separator/>
      </w:r>
    </w:p>
  </w:footnote>
  <w:footnote w:type="continuationSeparator" w:id="0">
    <w:p w:rsidR="00A84513" w:rsidRDefault="00A84513" w:rsidP="00A87D06">
      <w:r>
        <w:continuationSeparator/>
      </w:r>
    </w:p>
  </w:footnote>
  <w:footnote w:id="1">
    <w:p w:rsidR="00387E63" w:rsidRPr="00387E63" w:rsidRDefault="00387E63">
      <w:pPr>
        <w:pStyle w:val="FootnoteText"/>
        <w:rPr>
          <w:rFonts w:ascii="Browallia New" w:hAnsi="Browallia New" w:cs="Browallia New"/>
          <w:sz w:val="24"/>
          <w:szCs w:val="24"/>
        </w:rPr>
      </w:pPr>
      <w:r w:rsidRPr="00387E63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387E63">
        <w:rPr>
          <w:rFonts w:ascii="Browallia New" w:hAnsi="Browallia New" w:cs="Browallia New"/>
          <w:sz w:val="24"/>
          <w:szCs w:val="24"/>
        </w:rPr>
        <w:t xml:space="preserve"> </w:t>
      </w:r>
      <w:r w:rsidRPr="00387E63">
        <w:rPr>
          <w:rFonts w:ascii="Browallia New" w:hAnsi="Browallia New" w:cs="Browallia New"/>
          <w:sz w:val="24"/>
          <w:szCs w:val="24"/>
          <w:cs/>
        </w:rPr>
        <w:t xml:space="preserve">ข้อ </w:t>
      </w:r>
      <w:r w:rsidRPr="00387E63">
        <w:rPr>
          <w:rFonts w:ascii="Browallia New" w:hAnsi="Browallia New" w:cs="Browallia New"/>
          <w:sz w:val="24"/>
          <w:szCs w:val="24"/>
        </w:rPr>
        <w:t>1</w:t>
      </w:r>
      <w:r w:rsidRPr="00387E63">
        <w:rPr>
          <w:rFonts w:ascii="Browallia New" w:hAnsi="Browallia New" w:cs="Browallia New"/>
          <w:sz w:val="24"/>
          <w:szCs w:val="24"/>
          <w:cs/>
        </w:rPr>
        <w:t xml:space="preserve"> ยกเลิก</w:t>
      </w:r>
      <w:r>
        <w:rPr>
          <w:rFonts w:ascii="Browallia New" w:hAnsi="Browallia New" w:cs="Browallia New" w:hint="cs"/>
          <w:sz w:val="24"/>
          <w:szCs w:val="24"/>
          <w:cs/>
        </w:rPr>
        <w:t xml:space="preserve">และแก้ไขเพิ่มเติมโดยประกาศสมาคมบริษัทหลักทรัพย์ไทยที่ กส. </w:t>
      </w:r>
      <w:r>
        <w:rPr>
          <w:rFonts w:ascii="Browallia New" w:hAnsi="Browallia New" w:cs="Browallia New"/>
          <w:sz w:val="24"/>
          <w:szCs w:val="24"/>
        </w:rPr>
        <w:t>2/2562</w:t>
      </w:r>
      <w:r>
        <w:rPr>
          <w:rFonts w:ascii="Browallia New" w:hAnsi="Browallia New" w:cs="Browallia New" w:hint="cs"/>
          <w:sz w:val="24"/>
          <w:szCs w:val="24"/>
          <w:cs/>
        </w:rPr>
        <w:t xml:space="preserve"> เรื่อง </w:t>
      </w:r>
      <w:r w:rsidRPr="00387E63">
        <w:rPr>
          <w:rFonts w:ascii="Browallia New" w:hAnsi="Browallia New" w:cs="Browallia New" w:hint="cs"/>
          <w:sz w:val="24"/>
          <w:szCs w:val="24"/>
          <w:cs/>
        </w:rPr>
        <w:t>หลักเกณฑ์และจรรยาบรรณในการประกอบธุรกิจหลักทรัพย์ของบริษัทสมาชิก</w:t>
      </w:r>
      <w:r>
        <w:rPr>
          <w:rFonts w:ascii="Browallia New" w:hAnsi="Browallia New" w:cs="Browallia New" w:hint="cs"/>
          <w:sz w:val="24"/>
          <w:szCs w:val="24"/>
          <w:cs/>
        </w:rPr>
        <w:t xml:space="preserve"> (ฉบับที่ </w:t>
      </w:r>
      <w:r>
        <w:rPr>
          <w:rFonts w:ascii="Browallia New" w:hAnsi="Browallia New" w:cs="Browallia New"/>
          <w:sz w:val="24"/>
          <w:szCs w:val="24"/>
        </w:rPr>
        <w:t xml:space="preserve">2) </w:t>
      </w:r>
      <w:r>
        <w:rPr>
          <w:rFonts w:ascii="Browallia New" w:hAnsi="Browallia New" w:cs="Browallia New" w:hint="cs"/>
          <w:sz w:val="24"/>
          <w:szCs w:val="24"/>
          <w:cs/>
        </w:rPr>
        <w:t xml:space="preserve">ลงวันที่ </w:t>
      </w:r>
      <w:r>
        <w:rPr>
          <w:rFonts w:ascii="Browallia New" w:hAnsi="Browallia New" w:cs="Browallia New"/>
          <w:sz w:val="24"/>
          <w:szCs w:val="24"/>
        </w:rPr>
        <w:t>13</w:t>
      </w:r>
      <w:r>
        <w:rPr>
          <w:rFonts w:ascii="Browallia New" w:hAnsi="Browallia New" w:cs="Browallia New" w:hint="cs"/>
          <w:sz w:val="24"/>
          <w:szCs w:val="24"/>
          <w:cs/>
        </w:rPr>
        <w:t xml:space="preserve"> พฤศจิกายน </w:t>
      </w:r>
      <w:r>
        <w:rPr>
          <w:rFonts w:ascii="Browallia New" w:hAnsi="Browallia New" w:cs="Browallia New"/>
          <w:sz w:val="24"/>
          <w:szCs w:val="24"/>
        </w:rPr>
        <w:t>2562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3"/>
    <w:rsid w:val="00000EA1"/>
    <w:rsid w:val="000025E8"/>
    <w:rsid w:val="000040E3"/>
    <w:rsid w:val="000363B8"/>
    <w:rsid w:val="00060532"/>
    <w:rsid w:val="000F78FE"/>
    <w:rsid w:val="00101C43"/>
    <w:rsid w:val="0011539E"/>
    <w:rsid w:val="00125CBF"/>
    <w:rsid w:val="0017238C"/>
    <w:rsid w:val="00177202"/>
    <w:rsid w:val="001A0333"/>
    <w:rsid w:val="001B7E14"/>
    <w:rsid w:val="001C19A0"/>
    <w:rsid w:val="001E0341"/>
    <w:rsid w:val="00236194"/>
    <w:rsid w:val="002659D4"/>
    <w:rsid w:val="002D3CE3"/>
    <w:rsid w:val="002F1FB1"/>
    <w:rsid w:val="00303E7D"/>
    <w:rsid w:val="00317693"/>
    <w:rsid w:val="003303AE"/>
    <w:rsid w:val="003337CB"/>
    <w:rsid w:val="00366D91"/>
    <w:rsid w:val="00386C64"/>
    <w:rsid w:val="00387E63"/>
    <w:rsid w:val="003935FA"/>
    <w:rsid w:val="003936D5"/>
    <w:rsid w:val="00420AAC"/>
    <w:rsid w:val="004306CB"/>
    <w:rsid w:val="0044658A"/>
    <w:rsid w:val="0046755F"/>
    <w:rsid w:val="0047748A"/>
    <w:rsid w:val="004846CB"/>
    <w:rsid w:val="00493EB2"/>
    <w:rsid w:val="004B4D53"/>
    <w:rsid w:val="004D4BAF"/>
    <w:rsid w:val="004F6C07"/>
    <w:rsid w:val="005175CD"/>
    <w:rsid w:val="00546830"/>
    <w:rsid w:val="00566C1E"/>
    <w:rsid w:val="00574649"/>
    <w:rsid w:val="00581080"/>
    <w:rsid w:val="00607C48"/>
    <w:rsid w:val="006133AF"/>
    <w:rsid w:val="00643429"/>
    <w:rsid w:val="0068507E"/>
    <w:rsid w:val="006913EB"/>
    <w:rsid w:val="006941CE"/>
    <w:rsid w:val="006A69E2"/>
    <w:rsid w:val="006B203F"/>
    <w:rsid w:val="006D7555"/>
    <w:rsid w:val="006F7B9B"/>
    <w:rsid w:val="0071174C"/>
    <w:rsid w:val="00712F66"/>
    <w:rsid w:val="00713CBB"/>
    <w:rsid w:val="00714269"/>
    <w:rsid w:val="00762395"/>
    <w:rsid w:val="00765461"/>
    <w:rsid w:val="00780B66"/>
    <w:rsid w:val="00793850"/>
    <w:rsid w:val="007A4100"/>
    <w:rsid w:val="007A5B52"/>
    <w:rsid w:val="008067C7"/>
    <w:rsid w:val="0080750D"/>
    <w:rsid w:val="008353E3"/>
    <w:rsid w:val="0083624C"/>
    <w:rsid w:val="0083654A"/>
    <w:rsid w:val="008908A1"/>
    <w:rsid w:val="008B2081"/>
    <w:rsid w:val="008D56A1"/>
    <w:rsid w:val="00935813"/>
    <w:rsid w:val="00957E5E"/>
    <w:rsid w:val="00971E21"/>
    <w:rsid w:val="009B2ABE"/>
    <w:rsid w:val="009F6832"/>
    <w:rsid w:val="009F696D"/>
    <w:rsid w:val="00A10FF9"/>
    <w:rsid w:val="00A12389"/>
    <w:rsid w:val="00A84513"/>
    <w:rsid w:val="00A87D06"/>
    <w:rsid w:val="00AE7138"/>
    <w:rsid w:val="00B603F4"/>
    <w:rsid w:val="00B75A2D"/>
    <w:rsid w:val="00B956D4"/>
    <w:rsid w:val="00BB110F"/>
    <w:rsid w:val="00BD42F3"/>
    <w:rsid w:val="00C02447"/>
    <w:rsid w:val="00C506EA"/>
    <w:rsid w:val="00C55CC1"/>
    <w:rsid w:val="00C647CA"/>
    <w:rsid w:val="00CA2355"/>
    <w:rsid w:val="00CB3D0A"/>
    <w:rsid w:val="00D34581"/>
    <w:rsid w:val="00D677F0"/>
    <w:rsid w:val="00D763F9"/>
    <w:rsid w:val="00DD06CF"/>
    <w:rsid w:val="00DF1922"/>
    <w:rsid w:val="00E20ED9"/>
    <w:rsid w:val="00E21D1A"/>
    <w:rsid w:val="00E3774C"/>
    <w:rsid w:val="00E45724"/>
    <w:rsid w:val="00E65B2E"/>
    <w:rsid w:val="00E70460"/>
    <w:rsid w:val="00EC18C4"/>
    <w:rsid w:val="00F7202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FootnoteText">
    <w:name w:val="footnote text"/>
    <w:basedOn w:val="Normal"/>
    <w:link w:val="FootnoteTextChar"/>
    <w:rsid w:val="00387E63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387E63"/>
    <w:rPr>
      <w:szCs w:val="25"/>
      <w:lang w:eastAsia="ko-KR"/>
    </w:rPr>
  </w:style>
  <w:style w:type="character" w:styleId="FootnoteReference">
    <w:name w:val="footnote reference"/>
    <w:basedOn w:val="DefaultParagraphFont"/>
    <w:rsid w:val="00387E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FootnoteText">
    <w:name w:val="footnote text"/>
    <w:basedOn w:val="Normal"/>
    <w:link w:val="FootnoteTextChar"/>
    <w:rsid w:val="00387E63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387E63"/>
    <w:rPr>
      <w:szCs w:val="25"/>
      <w:lang w:eastAsia="ko-KR"/>
    </w:rPr>
  </w:style>
  <w:style w:type="character" w:styleId="FootnoteReference">
    <w:name w:val="footnote reference"/>
    <w:basedOn w:val="DefaultParagraphFont"/>
    <w:rsid w:val="00387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92C4-77CF-4866-A6CE-8B780200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Sunisa Lohma</cp:lastModifiedBy>
  <cp:revision>2</cp:revision>
  <cp:lastPrinted>2019-11-12T09:00:00Z</cp:lastPrinted>
  <dcterms:created xsi:type="dcterms:W3CDTF">2019-11-13T04:20:00Z</dcterms:created>
  <dcterms:modified xsi:type="dcterms:W3CDTF">2019-11-13T04:20:00Z</dcterms:modified>
</cp:coreProperties>
</file>