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DF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1524DF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1524DF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1524DF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1524DF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1524DF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1524DF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1524DF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1524DF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1524DF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1524DF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3912F0" w:rsidRDefault="003912F0" w:rsidP="008E704E">
      <w:pPr>
        <w:spacing w:after="0" w:line="240" w:lineRule="auto"/>
        <w:jc w:val="center"/>
        <w:rPr>
          <w:rFonts w:ascii="DilleniaUPC" w:hAnsi="DilleniaUPC" w:cs="DilleniaUPC"/>
          <w:bCs/>
          <w:sz w:val="36"/>
          <w:szCs w:val="36"/>
          <w:u w:val="single"/>
        </w:rPr>
      </w:pPr>
    </w:p>
    <w:p w:rsidR="003912F0" w:rsidRDefault="003912F0" w:rsidP="008E704E">
      <w:pPr>
        <w:spacing w:after="0" w:line="240" w:lineRule="auto"/>
        <w:jc w:val="center"/>
        <w:rPr>
          <w:rFonts w:ascii="DilleniaUPC" w:hAnsi="DilleniaUPC" w:cs="DilleniaUPC"/>
          <w:bCs/>
          <w:sz w:val="36"/>
          <w:szCs w:val="36"/>
          <w:u w:val="single"/>
        </w:rPr>
      </w:pPr>
    </w:p>
    <w:p w:rsidR="003912F0" w:rsidRDefault="003912F0" w:rsidP="008E704E">
      <w:pPr>
        <w:spacing w:after="0" w:line="240" w:lineRule="auto"/>
        <w:jc w:val="center"/>
        <w:rPr>
          <w:rFonts w:ascii="DilleniaUPC" w:hAnsi="DilleniaUPC" w:cs="DilleniaUPC"/>
          <w:bCs/>
          <w:sz w:val="36"/>
          <w:szCs w:val="36"/>
          <w:u w:val="single"/>
        </w:rPr>
      </w:pPr>
      <w:bookmarkStart w:id="0" w:name="_GoBack"/>
      <w:bookmarkEnd w:id="0"/>
    </w:p>
    <w:p w:rsidR="001524DF" w:rsidRPr="00127EB6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48"/>
          <w:szCs w:val="48"/>
        </w:rPr>
      </w:pPr>
      <w:r w:rsidRPr="00127EB6">
        <w:rPr>
          <w:rFonts w:ascii="DilleniaUPC" w:hAnsi="DilleniaUPC" w:cs="DilleniaUPC"/>
          <w:bCs/>
          <w:sz w:val="48"/>
          <w:szCs w:val="48"/>
          <w:cs/>
        </w:rPr>
        <w:t>ข้อเสนอแนะและตัวอย่าง</w:t>
      </w:r>
    </w:p>
    <w:p w:rsidR="00734222" w:rsidRPr="00127EB6" w:rsidRDefault="00AF40E7" w:rsidP="008E704E">
      <w:pPr>
        <w:spacing w:after="0" w:line="240" w:lineRule="auto"/>
        <w:jc w:val="center"/>
        <w:rPr>
          <w:rFonts w:ascii="DilleniaUPC" w:hAnsi="DilleniaUPC" w:cs="DilleniaUPC"/>
          <w:b/>
          <w:sz w:val="36"/>
          <w:szCs w:val="36"/>
        </w:rPr>
      </w:pPr>
      <w:r w:rsidRPr="00127EB6">
        <w:rPr>
          <w:rFonts w:ascii="DilleniaUPC" w:hAnsi="DilleniaUPC" w:cs="DilleniaUPC"/>
          <w:bCs/>
          <w:sz w:val="36"/>
          <w:szCs w:val="36"/>
          <w:cs/>
        </w:rPr>
        <w:t>การ</w:t>
      </w:r>
      <w:r w:rsidR="00A434CC" w:rsidRPr="00127EB6">
        <w:rPr>
          <w:rFonts w:ascii="DilleniaUPC" w:hAnsi="DilleniaUPC" w:cs="DilleniaUPC"/>
          <w:bCs/>
          <w:sz w:val="36"/>
          <w:szCs w:val="36"/>
          <w:cs/>
        </w:rPr>
        <w:t>ประเมิน</w:t>
      </w:r>
      <w:r w:rsidRPr="00127EB6">
        <w:rPr>
          <w:rFonts w:ascii="DilleniaUPC" w:hAnsi="DilleniaUPC" w:cs="DilleniaUPC"/>
          <w:bCs/>
          <w:sz w:val="36"/>
          <w:szCs w:val="36"/>
          <w:cs/>
        </w:rPr>
        <w:t>ความเสี่ยงของ</w:t>
      </w:r>
      <w:r w:rsidR="00A434CC" w:rsidRPr="00127EB6">
        <w:rPr>
          <w:rFonts w:ascii="DilleniaUPC" w:hAnsi="DilleniaUPC" w:cs="DilleniaUPC"/>
          <w:bCs/>
          <w:sz w:val="36"/>
          <w:szCs w:val="36"/>
          <w:cs/>
        </w:rPr>
        <w:t xml:space="preserve">ลูกค้า </w:t>
      </w:r>
      <w:r w:rsidRPr="00127EB6">
        <w:rPr>
          <w:rFonts w:ascii="DilleniaUPC" w:hAnsi="DilleniaUPC" w:cs="DilleniaUPC"/>
          <w:bCs/>
          <w:sz w:val="36"/>
          <w:szCs w:val="36"/>
          <w:cs/>
        </w:rPr>
        <w:t>ผลิตภัณฑ์</w:t>
      </w:r>
      <w:r w:rsidR="001524DF" w:rsidRPr="00127EB6">
        <w:rPr>
          <w:rFonts w:ascii="DilleniaUPC" w:hAnsi="DilleniaUPC" w:cs="DilleniaUPC"/>
          <w:bCs/>
          <w:sz w:val="36"/>
          <w:szCs w:val="36"/>
          <w:cs/>
        </w:rPr>
        <w:t xml:space="preserve"> </w:t>
      </w:r>
      <w:r w:rsidRPr="00127EB6">
        <w:rPr>
          <w:rFonts w:ascii="DilleniaUPC" w:hAnsi="DilleniaUPC" w:cs="DilleniaUPC"/>
          <w:bCs/>
          <w:sz w:val="36"/>
          <w:szCs w:val="36"/>
          <w:cs/>
        </w:rPr>
        <w:t>บริการ และช่องทาง</w:t>
      </w:r>
      <w:r w:rsidR="00A434CC" w:rsidRPr="00127EB6">
        <w:rPr>
          <w:rFonts w:ascii="DilleniaUPC" w:hAnsi="DilleniaUPC" w:cs="DilleniaUPC"/>
          <w:bCs/>
          <w:sz w:val="36"/>
          <w:szCs w:val="36"/>
          <w:cs/>
        </w:rPr>
        <w:t>การให้</w:t>
      </w:r>
      <w:r w:rsidRPr="00127EB6">
        <w:rPr>
          <w:rFonts w:ascii="DilleniaUPC" w:hAnsi="DilleniaUPC" w:cs="DilleniaUPC"/>
          <w:bCs/>
          <w:sz w:val="36"/>
          <w:szCs w:val="36"/>
          <w:cs/>
        </w:rPr>
        <w:t>บริการ</w:t>
      </w: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1524DF" w:rsidRDefault="001524DF" w:rsidP="0068188A">
      <w:pPr>
        <w:spacing w:after="0" w:line="240" w:lineRule="auto"/>
        <w:rPr>
          <w:rFonts w:ascii="DilleniaUPC" w:hAnsi="DilleniaUPC" w:cs="DilleniaUPC"/>
          <w:bCs/>
          <w:sz w:val="30"/>
          <w:szCs w:val="30"/>
        </w:rPr>
      </w:pPr>
    </w:p>
    <w:p w:rsidR="00E138D5" w:rsidRPr="008E704E" w:rsidRDefault="001524DF" w:rsidP="008E704E">
      <w:pPr>
        <w:spacing w:after="0" w:line="240" w:lineRule="auto"/>
        <w:jc w:val="center"/>
        <w:rPr>
          <w:rFonts w:ascii="DilleniaUPC" w:hAnsi="DilleniaUPC" w:cs="DilleniaUPC"/>
          <w:bCs/>
          <w:sz w:val="36"/>
          <w:szCs w:val="36"/>
        </w:rPr>
      </w:pPr>
      <w:r w:rsidRPr="008E704E">
        <w:rPr>
          <w:rFonts w:ascii="DilleniaUPC" w:hAnsi="DilleniaUPC" w:cs="DilleniaUPC" w:hint="cs"/>
          <w:bCs/>
          <w:sz w:val="36"/>
          <w:szCs w:val="36"/>
          <w:cs/>
        </w:rPr>
        <w:lastRenderedPageBreak/>
        <w:t>บทนำ</w:t>
      </w:r>
    </w:p>
    <w:p w:rsidR="008E704E" w:rsidRPr="0068188A" w:rsidRDefault="008E704E" w:rsidP="008E704E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</w:rPr>
      </w:pPr>
    </w:p>
    <w:p w:rsidR="00E138D5" w:rsidRDefault="00E138D5" w:rsidP="008E704E">
      <w:pPr>
        <w:spacing w:after="0" w:line="240" w:lineRule="auto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hAnsi="DilleniaUPC" w:cs="DilleniaUPC" w:hint="cs"/>
          <w:b/>
          <w:sz w:val="30"/>
          <w:szCs w:val="30"/>
          <w:cs/>
        </w:rPr>
        <w:tab/>
      </w:r>
      <w:r w:rsidRPr="00E138D5">
        <w:rPr>
          <w:rFonts w:ascii="DilleniaUPC" w:eastAsia="Calibri" w:hAnsi="DilleniaUPC" w:cs="DilleniaUPC"/>
          <w:sz w:val="30"/>
          <w:szCs w:val="30"/>
          <w:cs/>
        </w:rPr>
        <w:t>ตามที่สำนักงานป้องกันและปราบปรามการฟอกเงิน (</w:t>
      </w:r>
      <w:r w:rsidRPr="00E138D5">
        <w:rPr>
          <w:rFonts w:ascii="DilleniaUPC" w:eastAsia="Calibri" w:hAnsi="DilleniaUPC" w:cs="DilleniaUPC"/>
          <w:sz w:val="30"/>
          <w:szCs w:val="30"/>
        </w:rPr>
        <w:t>“</w:t>
      </w:r>
      <w:r w:rsidRPr="00E138D5">
        <w:rPr>
          <w:rFonts w:ascii="DilleniaUPC" w:eastAsia="Calibri" w:hAnsi="DilleniaUPC" w:cs="DilleniaUPC"/>
          <w:sz w:val="30"/>
          <w:szCs w:val="30"/>
          <w:cs/>
        </w:rPr>
        <w:t>สำนักงาน</w:t>
      </w:r>
      <w:r w:rsidR="008E704E"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proofErr w:type="spellStart"/>
      <w:r w:rsidRPr="00E138D5">
        <w:rPr>
          <w:rFonts w:ascii="DilleniaUPC" w:eastAsia="Calibri" w:hAnsi="DilleniaUPC" w:cs="DilleniaUPC"/>
          <w:sz w:val="30"/>
          <w:szCs w:val="30"/>
          <w:cs/>
        </w:rPr>
        <w:t>ปปง</w:t>
      </w:r>
      <w:proofErr w:type="spellEnd"/>
      <w:r w:rsidRPr="00E138D5">
        <w:rPr>
          <w:rFonts w:ascii="DilleniaUPC" w:eastAsia="Calibri" w:hAnsi="DilleniaUPC" w:cs="DilleniaUPC"/>
          <w:sz w:val="30"/>
          <w:szCs w:val="30"/>
          <w:cs/>
        </w:rPr>
        <w:t>.</w:t>
      </w:r>
      <w:r w:rsidRPr="00E138D5">
        <w:rPr>
          <w:rFonts w:ascii="DilleniaUPC" w:eastAsia="Calibri" w:hAnsi="DilleniaUPC" w:cs="DilleniaUPC"/>
          <w:sz w:val="30"/>
          <w:szCs w:val="30"/>
        </w:rPr>
        <w:t xml:space="preserve">”) </w:t>
      </w:r>
      <w:r w:rsidRPr="00E138D5">
        <w:rPr>
          <w:rFonts w:ascii="DilleniaUPC" w:eastAsia="Calibri" w:hAnsi="DilleniaUPC" w:cs="DilleniaUPC"/>
          <w:sz w:val="30"/>
          <w:szCs w:val="30"/>
          <w:cs/>
        </w:rPr>
        <w:t>ได้จัดทำแนวทางปฏิบัติ เรื่อง การตรวจสอบเพื่อทราบข้อเท็จจริงเกี่ยวกับลูกค้าตามกฎหมายว่าด้วยการป้องกันและปราบปรามการฟอกเงิน  สำหรับสถาบันการเงินประเ</w:t>
      </w:r>
      <w:r>
        <w:rPr>
          <w:rFonts w:ascii="DilleniaUPC" w:eastAsia="Calibri" w:hAnsi="DilleniaUPC" w:cs="DilleniaUPC"/>
          <w:sz w:val="30"/>
          <w:szCs w:val="30"/>
          <w:cs/>
        </w:rPr>
        <w:t>ภท บริษัทหลักทรัพย์ โดย</w:t>
      </w:r>
      <w:r w:rsidRPr="00E138D5">
        <w:rPr>
          <w:rFonts w:ascii="DilleniaUPC" w:eastAsia="Calibri" w:hAnsi="DilleniaUPC" w:cs="DilleniaUPC"/>
          <w:sz w:val="30"/>
          <w:szCs w:val="30"/>
          <w:cs/>
        </w:rPr>
        <w:t>กำหนดให้บริ</w:t>
      </w:r>
      <w:r>
        <w:rPr>
          <w:rFonts w:ascii="DilleniaUPC" w:eastAsia="Calibri" w:hAnsi="DilleniaUPC" w:cs="DilleniaUPC"/>
          <w:sz w:val="30"/>
          <w:szCs w:val="30"/>
          <w:cs/>
        </w:rPr>
        <w:t>ษัทหลักทรัพย์</w:t>
      </w:r>
      <w:r w:rsidRPr="00E138D5">
        <w:rPr>
          <w:rFonts w:ascii="DilleniaUPC" w:eastAsia="Calibri" w:hAnsi="DilleniaUPC" w:cs="DilleniaUPC"/>
          <w:sz w:val="30"/>
          <w:szCs w:val="30"/>
          <w:cs/>
        </w:rPr>
        <w:t>ต้องกำหนดมาตรฐานการบริหารความเสี่ยงของ</w:t>
      </w:r>
      <w:r w:rsidR="00A434CC">
        <w:rPr>
          <w:rFonts w:ascii="DilleniaUPC" w:eastAsia="Calibri" w:hAnsi="DilleniaUPC" w:cs="DilleniaUPC" w:hint="cs"/>
          <w:sz w:val="30"/>
          <w:szCs w:val="30"/>
          <w:cs/>
        </w:rPr>
        <w:t xml:space="preserve">ลูกค้า </w:t>
      </w:r>
      <w:r w:rsidRPr="00E138D5">
        <w:rPr>
          <w:rFonts w:ascii="DilleniaUPC" w:eastAsia="Calibri" w:hAnsi="DilleniaUPC" w:cs="DilleniaUPC"/>
          <w:sz w:val="30"/>
          <w:szCs w:val="30"/>
          <w:cs/>
        </w:rPr>
        <w:t>ผลิตภัณฑ์</w:t>
      </w:r>
      <w:r w:rsidR="00A434CC">
        <w:rPr>
          <w:rFonts w:ascii="DilleniaUPC" w:eastAsia="Calibri" w:hAnsi="DilleniaUPC" w:cs="DilleniaUPC" w:hint="cs"/>
          <w:sz w:val="30"/>
          <w:szCs w:val="30"/>
          <w:cs/>
        </w:rPr>
        <w:t>/</w:t>
      </w:r>
      <w:r w:rsidRPr="00E138D5">
        <w:rPr>
          <w:rFonts w:ascii="DilleniaUPC" w:eastAsia="Calibri" w:hAnsi="DilleniaUPC" w:cs="DilleniaUPC"/>
          <w:sz w:val="30"/>
          <w:szCs w:val="30"/>
          <w:cs/>
        </w:rPr>
        <w:t>บริการ และช่องทาง</w:t>
      </w:r>
      <w:r w:rsidR="00A434CC">
        <w:rPr>
          <w:rFonts w:ascii="DilleniaUPC" w:eastAsia="Calibri" w:hAnsi="DilleniaUPC" w:cs="DilleniaUPC" w:hint="cs"/>
          <w:sz w:val="30"/>
          <w:szCs w:val="30"/>
          <w:cs/>
        </w:rPr>
        <w:t>การให้</w:t>
      </w:r>
      <w:r w:rsidRPr="00E138D5">
        <w:rPr>
          <w:rFonts w:ascii="DilleniaUPC" w:eastAsia="Calibri" w:hAnsi="DilleniaUPC" w:cs="DilleniaUPC"/>
          <w:sz w:val="30"/>
          <w:szCs w:val="30"/>
          <w:cs/>
        </w:rPr>
        <w:t>บริการ ที่องค์กรดำเนินกิจการอยู่ ซึ่งมาตรฐานดังกล่าวนี้ ได้แก่ ผลการประเมินความเสี่ยงของทุกผลิตภัณฑ์</w:t>
      </w:r>
      <w:r w:rsidR="00A434CC">
        <w:rPr>
          <w:rFonts w:ascii="DilleniaUPC" w:eastAsia="Calibri" w:hAnsi="DilleniaUPC" w:cs="DilleniaUPC" w:hint="cs"/>
          <w:sz w:val="30"/>
          <w:szCs w:val="30"/>
          <w:cs/>
        </w:rPr>
        <w:t>/</w:t>
      </w:r>
      <w:r w:rsidRPr="00E138D5">
        <w:rPr>
          <w:rFonts w:ascii="DilleniaUPC" w:eastAsia="Calibri" w:hAnsi="DilleniaUPC" w:cs="DilleniaUPC"/>
          <w:sz w:val="30"/>
          <w:szCs w:val="30"/>
          <w:cs/>
        </w:rPr>
        <w:t xml:space="preserve">บริการ </w:t>
      </w:r>
      <w:r w:rsidR="00A434CC">
        <w:rPr>
          <w:rFonts w:ascii="DilleniaUPC" w:eastAsia="Calibri" w:hAnsi="DilleniaUPC" w:cs="DilleniaUPC" w:hint="cs"/>
          <w:sz w:val="30"/>
          <w:szCs w:val="30"/>
          <w:cs/>
        </w:rPr>
        <w:t xml:space="preserve">ลูกค้า </w:t>
      </w:r>
      <w:r w:rsidRPr="00E138D5">
        <w:rPr>
          <w:rFonts w:ascii="DilleniaUPC" w:eastAsia="Calibri" w:hAnsi="DilleniaUPC" w:cs="DilleniaUPC"/>
          <w:sz w:val="30"/>
          <w:szCs w:val="30"/>
          <w:cs/>
        </w:rPr>
        <w:t>และช่องทาง</w:t>
      </w:r>
      <w:r w:rsidR="00A434CC">
        <w:rPr>
          <w:rFonts w:ascii="DilleniaUPC" w:eastAsia="Calibri" w:hAnsi="DilleniaUPC" w:cs="DilleniaUPC" w:hint="cs"/>
          <w:sz w:val="30"/>
          <w:szCs w:val="30"/>
          <w:cs/>
        </w:rPr>
        <w:t>การให้</w:t>
      </w:r>
      <w:r w:rsidRPr="00E138D5">
        <w:rPr>
          <w:rFonts w:ascii="DilleniaUPC" w:eastAsia="Calibri" w:hAnsi="DilleniaUPC" w:cs="DilleniaUPC"/>
          <w:sz w:val="30"/>
          <w:szCs w:val="30"/>
          <w:cs/>
        </w:rPr>
        <w:t xml:space="preserve">บริการ ทั้งนี้ การบริหารความเสี่ยงดังกล่าว จะถูกนำไปใช้เป็นเงื่อนไขหนึ่งในกระบวนการประเมินผลเพื่อขอข้อมูลเพิ่มเติมของลูกค้าในขั้นตอนการระบุตัวตนของลูกค้า </w:t>
      </w:r>
      <w:r w:rsidR="001524DF">
        <w:rPr>
          <w:rFonts w:ascii="DilleniaUPC" w:eastAsia="Calibri" w:hAnsi="DilleniaUPC" w:cs="DilleniaUPC" w:hint="cs"/>
          <w:sz w:val="30"/>
          <w:szCs w:val="30"/>
          <w:cs/>
        </w:rPr>
        <w:t>รวมถึงเป็นปัจจัยหนึ่งที่นำไปใช้พิจารณาในกระบวนการประเมินความเสี่ยงของลูกค้าแต่ละรายเพื่อกำหนดความเข้มข้นในการตรวจสอบความเคลื่อนไหวในการทำธุรกรรมและในการดำเนินความสัมพันธ์ต่อไป</w:t>
      </w:r>
    </w:p>
    <w:p w:rsidR="00AF40E7" w:rsidRDefault="00AF40E7" w:rsidP="008E704E">
      <w:pPr>
        <w:tabs>
          <w:tab w:val="left" w:pos="720"/>
        </w:tabs>
        <w:spacing w:after="0" w:line="240" w:lineRule="auto"/>
        <w:ind w:right="-27"/>
        <w:jc w:val="thaiDistribute"/>
        <w:rPr>
          <w:rFonts w:ascii="DilleniaUPC" w:eastAsia="Cordia New" w:hAnsi="DilleniaUPC" w:cs="DilleniaUPC"/>
          <w:sz w:val="30"/>
          <w:szCs w:val="30"/>
        </w:rPr>
      </w:pPr>
    </w:p>
    <w:p w:rsidR="00E138D5" w:rsidRDefault="00AF40E7" w:rsidP="008E704E">
      <w:pPr>
        <w:tabs>
          <w:tab w:val="left" w:pos="720"/>
        </w:tabs>
        <w:spacing w:after="0" w:line="240" w:lineRule="auto"/>
        <w:ind w:right="-27"/>
        <w:jc w:val="thaiDistribute"/>
        <w:rPr>
          <w:rFonts w:ascii="DilleniaUPC" w:eastAsia="Cordia New" w:hAnsi="DilleniaUPC" w:cs="DilleniaUPC"/>
          <w:sz w:val="30"/>
          <w:szCs w:val="30"/>
        </w:rPr>
      </w:pPr>
      <w:r>
        <w:rPr>
          <w:rFonts w:ascii="DilleniaUPC" w:eastAsia="Cordia New" w:hAnsi="DilleniaUPC" w:cs="DilleniaUPC" w:hint="cs"/>
          <w:sz w:val="30"/>
          <w:szCs w:val="30"/>
          <w:cs/>
        </w:rPr>
        <w:tab/>
      </w:r>
      <w:r w:rsidR="001524DF" w:rsidRPr="001524DF">
        <w:rPr>
          <w:rFonts w:ascii="DilleniaUPC" w:eastAsia="Cordia New" w:hAnsi="DilleniaUPC" w:cs="DilleniaUPC"/>
          <w:sz w:val="30"/>
          <w:szCs w:val="30"/>
          <w:cs/>
        </w:rPr>
        <w:t>สมาคมบริษัทหลักทรัพย์ไทย (</w:t>
      </w:r>
      <w:r w:rsidR="001524DF" w:rsidRPr="001524DF">
        <w:rPr>
          <w:rFonts w:ascii="DilleniaUPC" w:eastAsia="Cordia New" w:hAnsi="DilleniaUPC" w:cs="DilleniaUPC"/>
          <w:sz w:val="30"/>
          <w:szCs w:val="30"/>
        </w:rPr>
        <w:t>“</w:t>
      </w:r>
      <w:r w:rsidR="001524DF" w:rsidRPr="001524DF">
        <w:rPr>
          <w:rFonts w:ascii="DilleniaUPC" w:eastAsia="Cordia New" w:hAnsi="DilleniaUPC" w:cs="DilleniaUPC"/>
          <w:sz w:val="30"/>
          <w:szCs w:val="30"/>
          <w:cs/>
        </w:rPr>
        <w:t>สมาคม</w:t>
      </w:r>
      <w:r w:rsidR="001524DF" w:rsidRPr="001524DF">
        <w:rPr>
          <w:rFonts w:ascii="DilleniaUPC" w:eastAsia="Cordia New" w:hAnsi="DilleniaUPC" w:cs="DilleniaUPC"/>
          <w:sz w:val="30"/>
          <w:szCs w:val="30"/>
        </w:rPr>
        <w:t xml:space="preserve">”) </w:t>
      </w:r>
      <w:r w:rsidR="001524DF" w:rsidRPr="001524DF">
        <w:rPr>
          <w:rFonts w:ascii="DilleniaUPC" w:eastAsia="Cordia New" w:hAnsi="DilleniaUPC" w:cs="DilleniaUPC"/>
          <w:sz w:val="30"/>
          <w:szCs w:val="30"/>
          <w:cs/>
        </w:rPr>
        <w:t>ด้วยความร่วมมือจากบริษัท</w:t>
      </w:r>
      <w:r w:rsidR="001524DF" w:rsidRPr="001524DF">
        <w:rPr>
          <w:rFonts w:ascii="DilleniaUPC" w:eastAsia="Cordia New" w:hAnsi="DilleniaUPC" w:cs="DilleniaUPC" w:hint="cs"/>
          <w:sz w:val="30"/>
          <w:szCs w:val="30"/>
          <w:cs/>
        </w:rPr>
        <w:t>สมาชิก</w:t>
      </w:r>
      <w:r w:rsidR="001524DF" w:rsidRPr="001524DF">
        <w:rPr>
          <w:rFonts w:ascii="DilleniaUPC" w:eastAsia="Cordia New" w:hAnsi="DilleniaUPC" w:cs="DilleniaUPC"/>
          <w:sz w:val="30"/>
          <w:szCs w:val="30"/>
          <w:cs/>
        </w:rPr>
        <w:t xml:space="preserve"> ประกอบกับการประชุมหารือร่วมกันกับสำนักงานคณะกรรมการกำกับหลักทรัพย์และตลาดหลักทรัพย์</w:t>
      </w:r>
      <w:r w:rsidR="001524DF" w:rsidRPr="001524DF">
        <w:rPr>
          <w:rFonts w:ascii="DilleniaUPC" w:eastAsia="Cordia New" w:hAnsi="DilleniaUPC" w:cs="DilleniaUPC" w:hint="cs"/>
          <w:sz w:val="30"/>
          <w:szCs w:val="30"/>
          <w:cs/>
        </w:rPr>
        <w:t>เพื่อรับฟัง</w:t>
      </w:r>
      <w:r w:rsidR="001524DF" w:rsidRPr="001524DF">
        <w:rPr>
          <w:rFonts w:ascii="DilleniaUPC" w:eastAsia="Cordia New" w:hAnsi="DilleniaUPC" w:cs="DilleniaUPC"/>
          <w:sz w:val="30"/>
          <w:szCs w:val="30"/>
          <w:cs/>
        </w:rPr>
        <w:t>ข้อเสนอแนะ</w:t>
      </w:r>
      <w:r w:rsidR="001524DF" w:rsidRPr="001524DF">
        <w:rPr>
          <w:rFonts w:ascii="DilleniaUPC" w:eastAsia="Cordia New" w:hAnsi="DilleniaUPC" w:cs="DilleniaUPC" w:hint="cs"/>
          <w:sz w:val="30"/>
          <w:szCs w:val="30"/>
          <w:cs/>
        </w:rPr>
        <w:t xml:space="preserve"> และข้อคิดเห็น</w:t>
      </w:r>
      <w:r w:rsidR="001524DF" w:rsidRPr="001524DF">
        <w:rPr>
          <w:rFonts w:ascii="DilleniaUPC" w:eastAsia="Cordia New" w:hAnsi="DilleniaUPC" w:cs="DilleniaUPC"/>
          <w:sz w:val="30"/>
          <w:szCs w:val="30"/>
          <w:cs/>
        </w:rPr>
        <w:t xml:space="preserve"> </w:t>
      </w:r>
      <w:r w:rsidR="001524DF" w:rsidRPr="001524DF">
        <w:rPr>
          <w:rFonts w:ascii="DilleniaUPC" w:eastAsia="Cordia New" w:hAnsi="DilleniaUPC" w:cs="DilleniaUPC" w:hint="cs"/>
          <w:sz w:val="30"/>
          <w:szCs w:val="30"/>
          <w:cs/>
        </w:rPr>
        <w:t>จึง</w:t>
      </w:r>
      <w:r w:rsidR="001524DF" w:rsidRPr="001524DF">
        <w:rPr>
          <w:rFonts w:ascii="DilleniaUPC" w:eastAsia="Cordia New" w:hAnsi="DilleniaUPC" w:cs="DilleniaUPC"/>
          <w:sz w:val="30"/>
          <w:szCs w:val="30"/>
          <w:cs/>
        </w:rPr>
        <w:t>ได้</w:t>
      </w:r>
      <w:r w:rsidR="001524DF">
        <w:rPr>
          <w:rFonts w:ascii="DilleniaUPC" w:eastAsia="Cordia New" w:hAnsi="DilleniaUPC" w:cs="DilleniaUPC" w:hint="cs"/>
          <w:sz w:val="30"/>
          <w:szCs w:val="30"/>
          <w:cs/>
        </w:rPr>
        <w:t>จัดทำ</w:t>
      </w:r>
      <w:r w:rsidR="001524DF" w:rsidRPr="001524DF">
        <w:rPr>
          <w:rFonts w:ascii="DilleniaUPC" w:eastAsia="Cordia New" w:hAnsi="DilleniaUPC" w:cs="DilleniaUPC" w:hint="cs"/>
          <w:sz w:val="30"/>
          <w:szCs w:val="30"/>
          <w:cs/>
        </w:rPr>
        <w:t>ข้อเสนอแนะและตัวอย่างการประเมิน</w:t>
      </w:r>
      <w:r w:rsidR="001524DF" w:rsidRPr="001524DF">
        <w:rPr>
          <w:rFonts w:ascii="DilleniaUPC" w:eastAsia="Cordia New" w:hAnsi="DilleniaUPC" w:cs="DilleniaUPC"/>
          <w:sz w:val="30"/>
          <w:szCs w:val="30"/>
          <w:cs/>
        </w:rPr>
        <w:t>เสี่ยงของ</w:t>
      </w:r>
      <w:r w:rsidR="001524DF" w:rsidRPr="001524DF">
        <w:rPr>
          <w:rFonts w:ascii="DilleniaUPC" w:eastAsia="Cordia New" w:hAnsi="DilleniaUPC" w:cs="DilleniaUPC" w:hint="cs"/>
          <w:sz w:val="30"/>
          <w:szCs w:val="30"/>
          <w:cs/>
        </w:rPr>
        <w:t xml:space="preserve">ลูกค้า </w:t>
      </w:r>
      <w:r w:rsidR="001524DF" w:rsidRPr="001524DF">
        <w:rPr>
          <w:rFonts w:ascii="DilleniaUPC" w:eastAsia="Cordia New" w:hAnsi="DilleniaUPC" w:cs="DilleniaUPC"/>
          <w:sz w:val="30"/>
          <w:szCs w:val="30"/>
          <w:cs/>
        </w:rPr>
        <w:t>ผลิตภัณฑ์ บริการ และช่องทางบริการ</w:t>
      </w:r>
      <w:r w:rsidR="001524DF" w:rsidRPr="001524DF">
        <w:rPr>
          <w:rFonts w:ascii="DilleniaUPC" w:eastAsia="Cordia New" w:hAnsi="DilleniaUPC" w:cs="DilleniaUPC" w:hint="cs"/>
          <w:sz w:val="30"/>
          <w:szCs w:val="30"/>
          <w:cs/>
        </w:rPr>
        <w:t xml:space="preserve"> เพื่อช่วยอำนวยความสะดวกให้กับบริษัทสมาชิกพิจารณานำไปใช้</w:t>
      </w:r>
      <w:r w:rsidR="001524DF" w:rsidRPr="001524DF">
        <w:rPr>
          <w:rFonts w:ascii="DilleniaUPC" w:eastAsia="Cordia New" w:hAnsi="DilleniaUPC" w:cs="DilleniaUPC"/>
          <w:sz w:val="30"/>
          <w:szCs w:val="30"/>
          <w:cs/>
        </w:rPr>
        <w:t>เป็นแนวทางในการ</w:t>
      </w:r>
      <w:r w:rsidR="001524DF" w:rsidRPr="001524DF">
        <w:rPr>
          <w:rFonts w:ascii="DilleniaUPC" w:eastAsia="Calibri" w:hAnsi="DilleniaUPC" w:cs="DilleniaUPC"/>
          <w:sz w:val="30"/>
          <w:szCs w:val="30"/>
          <w:cs/>
        </w:rPr>
        <w:t>กำหนดมาตรฐานการบริหารความเสี่ยงของ</w:t>
      </w:r>
      <w:r w:rsidR="001524DF" w:rsidRPr="001524DF">
        <w:rPr>
          <w:rFonts w:ascii="DilleniaUPC" w:eastAsia="Calibri" w:hAnsi="DilleniaUPC" w:cs="DilleniaUPC" w:hint="cs"/>
          <w:sz w:val="30"/>
          <w:szCs w:val="30"/>
          <w:cs/>
        </w:rPr>
        <w:t>บริษัท เพื่อให้สอดคล้อง</w:t>
      </w:r>
      <w:r w:rsidR="00B54A33"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r w:rsidR="001524DF" w:rsidRPr="001524DF">
        <w:rPr>
          <w:rFonts w:ascii="DilleniaUPC" w:eastAsia="Cordia New" w:hAnsi="DilleniaUPC" w:cs="DilleniaUPC" w:hint="cs"/>
          <w:sz w:val="30"/>
          <w:szCs w:val="30"/>
          <w:cs/>
        </w:rPr>
        <w:t>เป็น</w:t>
      </w:r>
      <w:r w:rsidR="00B54A33">
        <w:rPr>
          <w:rFonts w:ascii="DilleniaUPC" w:eastAsia="Cordia New" w:hAnsi="DilleniaUPC" w:cs="DilleniaUPC" w:hint="cs"/>
          <w:sz w:val="30"/>
          <w:szCs w:val="30"/>
          <w:cs/>
        </w:rPr>
        <w:t>ไป</w:t>
      </w:r>
      <w:r w:rsidR="001524DF" w:rsidRPr="001524DF">
        <w:rPr>
          <w:rFonts w:ascii="DilleniaUPC" w:eastAsia="Cordia New" w:hAnsi="DilleniaUPC" w:cs="DilleniaUPC" w:hint="cs"/>
          <w:sz w:val="30"/>
          <w:szCs w:val="30"/>
          <w:cs/>
        </w:rPr>
        <w:t>ในทิศทางเดียวกัน และสามารถกำหนดให้เป็นมาตรฐานเดียวกันทั้งอุตสาหกรรม</w:t>
      </w:r>
      <w:r w:rsidR="001524DF" w:rsidRPr="001524DF">
        <w:rPr>
          <w:rFonts w:ascii="DilleniaUPC" w:eastAsia="Calibri" w:hAnsi="DilleniaUPC" w:cs="DilleniaUPC" w:hint="cs"/>
          <w:sz w:val="30"/>
          <w:szCs w:val="30"/>
          <w:cs/>
        </w:rPr>
        <w:t>ต่อไป</w:t>
      </w:r>
      <w:r w:rsidR="001524DF">
        <w:rPr>
          <w:rFonts w:ascii="DilleniaUPC" w:eastAsia="Cordia New" w:hAnsi="DilleniaUPC" w:cs="DilleniaUPC" w:hint="cs"/>
          <w:sz w:val="30"/>
          <w:szCs w:val="30"/>
          <w:cs/>
        </w:rPr>
        <w:t>ซึ่ง</w:t>
      </w:r>
      <w:r w:rsidR="00B54A33">
        <w:rPr>
          <w:rFonts w:ascii="DilleniaUPC" w:eastAsia="Cordia New" w:hAnsi="DilleniaUPC" w:cs="DilleniaUPC" w:hint="cs"/>
          <w:sz w:val="30"/>
          <w:szCs w:val="30"/>
          <w:cs/>
        </w:rPr>
        <w:t>ข้อเสนอแนะและตัวอย่างที่จัดทำขึ้น</w:t>
      </w:r>
      <w:r w:rsidR="001524DF">
        <w:rPr>
          <w:rFonts w:ascii="DilleniaUPC" w:eastAsia="Cordia New" w:hAnsi="DilleniaUPC" w:cs="DilleniaUPC" w:hint="cs"/>
          <w:sz w:val="30"/>
          <w:szCs w:val="30"/>
          <w:cs/>
        </w:rPr>
        <w:t>จะอธิบายเพิ่มเติมในประเด็นหรือส่วนที่จำเป็นต้องได้รับการขยายความ รวมถึงระบุตัวอย่างประกอบคำอธิบายในบางกระบวนการ</w:t>
      </w:r>
      <w:r>
        <w:rPr>
          <w:rFonts w:ascii="DilleniaUPC" w:eastAsia="Cordia New" w:hAnsi="DilleniaUPC" w:cs="DilleniaUPC" w:hint="cs"/>
          <w:sz w:val="30"/>
          <w:szCs w:val="30"/>
          <w:cs/>
        </w:rPr>
        <w:t xml:space="preserve"> </w:t>
      </w:r>
      <w:r w:rsidR="009C2E21">
        <w:rPr>
          <w:rFonts w:ascii="DilleniaUPC" w:eastAsia="Cordia New" w:hAnsi="DilleniaUPC" w:cs="DilleniaUPC" w:hint="cs"/>
          <w:sz w:val="30"/>
          <w:szCs w:val="30"/>
          <w:cs/>
        </w:rPr>
        <w:t>โดยมีเนื้อหาสาระดังนี้</w:t>
      </w:r>
    </w:p>
    <w:p w:rsidR="00E138D5" w:rsidRDefault="00E138D5" w:rsidP="00E138D5">
      <w:pPr>
        <w:spacing w:after="0" w:line="240" w:lineRule="auto"/>
        <w:jc w:val="both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ordia New" w:hAnsi="DilleniaUPC" w:cs="DilleniaUPC" w:hint="cs"/>
          <w:sz w:val="30"/>
          <w:szCs w:val="30"/>
          <w:cs/>
        </w:rPr>
        <w:tab/>
      </w:r>
    </w:p>
    <w:p w:rsidR="00E138D5" w:rsidRPr="00E138D5" w:rsidRDefault="00E138D5" w:rsidP="00E138D5">
      <w:pPr>
        <w:spacing w:after="0" w:line="240" w:lineRule="auto"/>
        <w:rPr>
          <w:rFonts w:ascii="DilleniaUPC" w:hAnsi="DilleniaUPC" w:cs="DilleniaUPC"/>
          <w:b/>
          <w:sz w:val="30"/>
          <w:szCs w:val="30"/>
          <w:cs/>
        </w:rPr>
      </w:pPr>
      <w:r>
        <w:rPr>
          <w:rFonts w:ascii="DilleniaUPC" w:eastAsia="Calibri" w:hAnsi="DilleniaUPC" w:cs="DilleniaUPC" w:hint="cs"/>
          <w:sz w:val="30"/>
          <w:szCs w:val="30"/>
          <w:cs/>
        </w:rPr>
        <w:tab/>
      </w:r>
    </w:p>
    <w:p w:rsidR="00734222" w:rsidRDefault="00734222">
      <w:pPr>
        <w:rPr>
          <w:rFonts w:ascii="DilleniaUPC" w:hAnsi="DilleniaUPC" w:cs="DilleniaUPC"/>
          <w:bCs/>
          <w:sz w:val="30"/>
          <w:szCs w:val="30"/>
          <w:u w:val="single"/>
          <w:cs/>
        </w:rPr>
      </w:pPr>
      <w:r>
        <w:rPr>
          <w:rFonts w:ascii="DilleniaUPC" w:hAnsi="DilleniaUPC" w:cs="DilleniaUPC"/>
          <w:bCs/>
          <w:sz w:val="30"/>
          <w:szCs w:val="30"/>
          <w:u w:val="single"/>
          <w:cs/>
        </w:rPr>
        <w:br w:type="page"/>
      </w:r>
    </w:p>
    <w:p w:rsidR="006F4D4C" w:rsidRPr="008E704E" w:rsidRDefault="006F4D4C" w:rsidP="00343C1A">
      <w:pPr>
        <w:spacing w:after="0" w:line="240" w:lineRule="auto"/>
        <w:jc w:val="center"/>
        <w:rPr>
          <w:rFonts w:ascii="DilleniaUPC" w:hAnsi="DilleniaUPC" w:cs="DilleniaUPC"/>
          <w:bCs/>
          <w:sz w:val="36"/>
          <w:szCs w:val="36"/>
        </w:rPr>
      </w:pPr>
      <w:r w:rsidRPr="008E704E">
        <w:rPr>
          <w:rFonts w:ascii="DilleniaUPC" w:hAnsi="DilleniaUPC" w:cs="DilleniaUPC"/>
          <w:bCs/>
          <w:sz w:val="36"/>
          <w:szCs w:val="36"/>
          <w:cs/>
        </w:rPr>
        <w:lastRenderedPageBreak/>
        <w:t>ข้อเสนอแนะและตัวอย่าง</w:t>
      </w:r>
    </w:p>
    <w:p w:rsidR="003621BA" w:rsidRPr="008E704E" w:rsidRDefault="00A434CC" w:rsidP="00343C1A">
      <w:pPr>
        <w:spacing w:after="0" w:line="240" w:lineRule="auto"/>
        <w:jc w:val="center"/>
        <w:rPr>
          <w:rFonts w:ascii="DilleniaUPC" w:hAnsi="DilleniaUPC" w:cs="DilleniaUPC"/>
          <w:bCs/>
          <w:sz w:val="32"/>
          <w:szCs w:val="32"/>
          <w:u w:val="single"/>
        </w:rPr>
      </w:pPr>
      <w:r w:rsidRPr="008E704E">
        <w:rPr>
          <w:rFonts w:ascii="DilleniaUPC" w:hAnsi="DilleniaUPC" w:cs="DilleniaUPC"/>
          <w:bCs/>
          <w:sz w:val="36"/>
          <w:szCs w:val="36"/>
          <w:cs/>
        </w:rPr>
        <w:t>การประเมิน</w:t>
      </w:r>
      <w:r w:rsidR="009C2E21" w:rsidRPr="008E704E">
        <w:rPr>
          <w:rFonts w:ascii="DilleniaUPC" w:hAnsi="DilleniaUPC" w:cs="DilleniaUPC"/>
          <w:bCs/>
          <w:sz w:val="36"/>
          <w:szCs w:val="36"/>
          <w:cs/>
        </w:rPr>
        <w:t>ความเสี่ยงของ</w:t>
      </w:r>
      <w:r w:rsidRPr="008E704E">
        <w:rPr>
          <w:rFonts w:ascii="DilleniaUPC" w:hAnsi="DilleniaUPC" w:cs="DilleniaUPC"/>
          <w:bCs/>
          <w:sz w:val="36"/>
          <w:szCs w:val="36"/>
          <w:cs/>
        </w:rPr>
        <w:t xml:space="preserve">ลูกค้า </w:t>
      </w:r>
      <w:r w:rsidR="009C2E21" w:rsidRPr="008E704E">
        <w:rPr>
          <w:rFonts w:ascii="DilleniaUPC" w:hAnsi="DilleniaUPC" w:cs="DilleniaUPC"/>
          <w:bCs/>
          <w:sz w:val="36"/>
          <w:szCs w:val="36"/>
          <w:cs/>
        </w:rPr>
        <w:t>ผลิตภัณฑ์</w:t>
      </w:r>
      <w:r w:rsidRPr="008E704E">
        <w:rPr>
          <w:rFonts w:ascii="DilleniaUPC" w:hAnsi="DilleniaUPC" w:cs="DilleniaUPC"/>
          <w:bCs/>
          <w:sz w:val="36"/>
          <w:szCs w:val="36"/>
          <w:cs/>
        </w:rPr>
        <w:t>/</w:t>
      </w:r>
      <w:r w:rsidR="009C2E21" w:rsidRPr="008E704E">
        <w:rPr>
          <w:rFonts w:ascii="DilleniaUPC" w:hAnsi="DilleniaUPC" w:cs="DilleniaUPC"/>
          <w:bCs/>
          <w:sz w:val="36"/>
          <w:szCs w:val="36"/>
          <w:cs/>
        </w:rPr>
        <w:t>บริการ และช่องทาง</w:t>
      </w:r>
      <w:r w:rsidRPr="008E704E">
        <w:rPr>
          <w:rFonts w:ascii="DilleniaUPC" w:hAnsi="DilleniaUPC" w:cs="DilleniaUPC"/>
          <w:bCs/>
          <w:sz w:val="36"/>
          <w:szCs w:val="36"/>
          <w:cs/>
        </w:rPr>
        <w:t>การให้</w:t>
      </w:r>
      <w:r w:rsidR="009C2E21" w:rsidRPr="008E704E">
        <w:rPr>
          <w:rFonts w:ascii="DilleniaUPC" w:hAnsi="DilleniaUPC" w:cs="DilleniaUPC"/>
          <w:bCs/>
          <w:sz w:val="36"/>
          <w:szCs w:val="36"/>
          <w:cs/>
        </w:rPr>
        <w:t>บริการ</w:t>
      </w:r>
    </w:p>
    <w:p w:rsidR="009C2E21" w:rsidRPr="003621BA" w:rsidRDefault="009C2E21" w:rsidP="00343C1A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F31144" w:rsidRPr="003621BA" w:rsidRDefault="00F31144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  <w:cs/>
        </w:rPr>
        <w:tab/>
      </w:r>
      <w:r w:rsidR="000B35EB" w:rsidRPr="003621BA">
        <w:rPr>
          <w:rFonts w:ascii="DilleniaUPC" w:hAnsi="DilleniaUPC" w:cs="DilleniaUPC"/>
          <w:sz w:val="30"/>
          <w:szCs w:val="30"/>
          <w:cs/>
        </w:rPr>
        <w:t>การประกอบ</w:t>
      </w:r>
      <w:r w:rsidRPr="003621BA">
        <w:rPr>
          <w:rFonts w:ascii="DilleniaUPC" w:hAnsi="DilleniaUPC" w:cs="DilleniaUPC"/>
          <w:sz w:val="30"/>
          <w:szCs w:val="30"/>
          <w:cs/>
        </w:rPr>
        <w:t>ธุรกิจหลักทรัพย์</w:t>
      </w:r>
      <w:r w:rsidR="009C2E21">
        <w:rPr>
          <w:rFonts w:ascii="DilleniaUPC" w:hAnsi="DilleniaUPC" w:cs="DilleniaUPC" w:hint="cs"/>
          <w:sz w:val="30"/>
          <w:szCs w:val="30"/>
          <w:cs/>
        </w:rPr>
        <w:t>และ</w:t>
      </w:r>
      <w:r w:rsidR="005C3687" w:rsidRPr="003621BA">
        <w:rPr>
          <w:rFonts w:ascii="DilleniaUPC" w:hAnsi="DilleniaUPC" w:cs="DilleniaUPC"/>
          <w:sz w:val="30"/>
          <w:szCs w:val="30"/>
          <w:cs/>
        </w:rPr>
        <w:t xml:space="preserve">สัญญาซื้อขายล่วงหน้า </w:t>
      </w:r>
      <w:r w:rsidRPr="003621BA">
        <w:rPr>
          <w:rFonts w:ascii="DilleniaUPC" w:hAnsi="DilleniaUPC" w:cs="DilleniaUPC"/>
          <w:sz w:val="30"/>
          <w:szCs w:val="30"/>
          <w:cs/>
        </w:rPr>
        <w:t xml:space="preserve">เป็นธุรกิจบริการซึ่งให้บริการแก่ลูกค้าโดยต้องได้รับใบอนุญาตหรือความเห็นชอบในการประกอบธุรกิจจากสำนักงาน </w:t>
      </w:r>
      <w:proofErr w:type="spellStart"/>
      <w:r w:rsidRPr="003621BA">
        <w:rPr>
          <w:rFonts w:ascii="DilleniaUPC" w:hAnsi="DilleniaUPC" w:cs="DilleniaUPC"/>
          <w:sz w:val="30"/>
          <w:szCs w:val="30"/>
          <w:cs/>
        </w:rPr>
        <w:t>ก.ล.ต</w:t>
      </w:r>
      <w:proofErr w:type="spellEnd"/>
      <w:r w:rsidRPr="003621BA">
        <w:rPr>
          <w:rFonts w:ascii="DilleniaUPC" w:hAnsi="DilleniaUPC" w:cs="DilleniaUPC"/>
          <w:sz w:val="30"/>
          <w:szCs w:val="30"/>
          <w:cs/>
        </w:rPr>
        <w:t>. ในการพิจารณาความเสี่ยง จึงพิจารณา</w:t>
      </w:r>
      <w:r w:rsidR="00555C99" w:rsidRPr="003621BA">
        <w:rPr>
          <w:rFonts w:ascii="DilleniaUPC" w:hAnsi="DilleniaUPC" w:cs="DilleniaUPC"/>
          <w:sz w:val="30"/>
          <w:szCs w:val="30"/>
          <w:cs/>
        </w:rPr>
        <w:t>ธุรกรรมที่ให้บริการ</w:t>
      </w:r>
      <w:r w:rsidRPr="003621BA">
        <w:rPr>
          <w:rFonts w:ascii="DilleniaUPC" w:hAnsi="DilleniaUPC" w:cs="DilleniaUPC"/>
          <w:sz w:val="30"/>
          <w:szCs w:val="30"/>
          <w:cs/>
        </w:rPr>
        <w:t>ตามใบอนุญาตประกอบธุรกิจเป็นหลัก</w:t>
      </w:r>
      <w:r w:rsidR="003C2AE5" w:rsidRPr="003621BA">
        <w:rPr>
          <w:rFonts w:ascii="DilleniaUPC" w:hAnsi="DilleniaUPC" w:cs="DilleniaUPC"/>
          <w:sz w:val="30"/>
          <w:szCs w:val="30"/>
          <w:cs/>
        </w:rPr>
        <w:t xml:space="preserve"> ที่ส่งผลให้ลูกค้านำเงินหรือทรัพย์สินมาหมุนเวียนในระบบหรือผ่านระบบ</w:t>
      </w:r>
      <w:r w:rsidRPr="003621BA">
        <w:rPr>
          <w:rFonts w:ascii="DilleniaUPC" w:hAnsi="DilleniaUPC" w:cs="DilleniaUPC"/>
          <w:sz w:val="30"/>
          <w:szCs w:val="30"/>
          <w:cs/>
        </w:rPr>
        <w:t xml:space="preserve"> ได้แก่</w:t>
      </w:r>
    </w:p>
    <w:p w:rsidR="00F31144" w:rsidRPr="009C2E21" w:rsidRDefault="00F31144" w:rsidP="009C2E21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9C2E21">
        <w:rPr>
          <w:rFonts w:ascii="DilleniaUPC" w:hAnsi="DilleniaUPC" w:cs="DilleniaUPC"/>
          <w:sz w:val="30"/>
          <w:szCs w:val="30"/>
          <w:cs/>
        </w:rPr>
        <w:t xml:space="preserve">การเป็นตัวแทนนายหน้า </w:t>
      </w:r>
      <w:r w:rsidRPr="009C2E21">
        <w:rPr>
          <w:rFonts w:ascii="DilleniaUPC" w:hAnsi="DilleniaUPC" w:cs="DilleniaUPC"/>
          <w:sz w:val="30"/>
          <w:szCs w:val="30"/>
        </w:rPr>
        <w:t xml:space="preserve">(Brokering) </w:t>
      </w:r>
      <w:r w:rsidR="005C3687" w:rsidRPr="009C2E21">
        <w:rPr>
          <w:rFonts w:ascii="DilleniaUPC" w:hAnsi="DilleniaUPC" w:cs="DilleniaUPC"/>
          <w:sz w:val="30"/>
          <w:szCs w:val="30"/>
          <w:cs/>
        </w:rPr>
        <w:t>เป็นบริการในการซื้อขายหรือแลกเปลี่ยนหลักทรัพย์หรือสัญญาซื้อขายล่วงหน้าให้แก่ลูกค้าโดยหลักจะกระทำในศูนย์ซื้อขายซึ่งได้แก่ตลาดหลักทรัพย์ ตลาดสัญญาซื้อขายล่วงหน้า</w:t>
      </w:r>
    </w:p>
    <w:p w:rsidR="00F31144" w:rsidRPr="009C2E21" w:rsidRDefault="00F31144" w:rsidP="009C2E21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="DilleniaUPC" w:hAnsi="DilleniaUPC" w:cs="DilleniaUPC"/>
          <w:sz w:val="30"/>
          <w:szCs w:val="30"/>
        </w:rPr>
      </w:pPr>
      <w:r w:rsidRPr="009C2E21">
        <w:rPr>
          <w:rFonts w:ascii="DilleniaUPC" w:hAnsi="DilleniaUPC" w:cs="DilleniaUPC"/>
          <w:sz w:val="30"/>
          <w:szCs w:val="30"/>
          <w:cs/>
        </w:rPr>
        <w:t xml:space="preserve">การเป็นผู้ค้าหลักทรัพย์ </w:t>
      </w:r>
      <w:r w:rsidRPr="009C2E21">
        <w:rPr>
          <w:rFonts w:ascii="DilleniaUPC" w:hAnsi="DilleniaUPC" w:cs="DilleniaUPC"/>
          <w:sz w:val="30"/>
          <w:szCs w:val="30"/>
        </w:rPr>
        <w:t>(Dealing</w:t>
      </w:r>
      <w:r w:rsidR="002976E4" w:rsidRPr="009C2E21">
        <w:rPr>
          <w:rFonts w:ascii="DilleniaUPC" w:hAnsi="DilleniaUPC" w:cs="DilleniaUPC"/>
          <w:sz w:val="30"/>
          <w:szCs w:val="30"/>
        </w:rPr>
        <w:t>)</w:t>
      </w:r>
      <w:r w:rsidR="002976E4" w:rsidRPr="009C2E21">
        <w:rPr>
          <w:rFonts w:ascii="DilleniaUPC" w:hAnsi="DilleniaUPC" w:cs="DilleniaUPC"/>
          <w:sz w:val="30"/>
          <w:szCs w:val="30"/>
          <w:cs/>
        </w:rPr>
        <w:t xml:space="preserve"> เป็นบริการซื้อขายหรือแลกเปลี่ยนหลักทรัพย์กับลูกค้าในนามของบริษัทเองเป็นทางการค้า</w:t>
      </w:r>
      <w:r w:rsidR="005C3687" w:rsidRPr="009C2E21">
        <w:rPr>
          <w:rFonts w:ascii="DilleniaUPC" w:hAnsi="DilleniaUPC" w:cs="DilleniaUPC"/>
          <w:sz w:val="30"/>
          <w:szCs w:val="30"/>
          <w:cs/>
        </w:rPr>
        <w:t xml:space="preserve"> และกระทำนอกศูนย์ซื้อขาย</w:t>
      </w:r>
    </w:p>
    <w:p w:rsidR="00F31144" w:rsidRPr="009C2E21" w:rsidRDefault="00F31144" w:rsidP="009C2E21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="DilleniaUPC" w:hAnsi="DilleniaUPC" w:cs="DilleniaUPC"/>
          <w:sz w:val="30"/>
          <w:szCs w:val="30"/>
        </w:rPr>
      </w:pPr>
      <w:r w:rsidRPr="009C2E21">
        <w:rPr>
          <w:rFonts w:ascii="DilleniaUPC" w:hAnsi="DilleniaUPC" w:cs="DilleniaUPC"/>
          <w:sz w:val="30"/>
          <w:szCs w:val="30"/>
          <w:cs/>
        </w:rPr>
        <w:t xml:space="preserve">การจัดจำหน่ายหลักทรัพย์ </w:t>
      </w:r>
      <w:r w:rsidRPr="009C2E21">
        <w:rPr>
          <w:rFonts w:ascii="DilleniaUPC" w:hAnsi="DilleniaUPC" w:cs="DilleniaUPC"/>
          <w:sz w:val="30"/>
          <w:szCs w:val="30"/>
        </w:rPr>
        <w:t>(Underwriting)</w:t>
      </w:r>
      <w:r w:rsidR="003C2AE5" w:rsidRPr="009C2E21">
        <w:rPr>
          <w:rFonts w:ascii="DilleniaUPC" w:hAnsi="DilleniaUPC" w:cs="DilleniaUPC"/>
          <w:sz w:val="30"/>
          <w:szCs w:val="30"/>
          <w:cs/>
        </w:rPr>
        <w:t xml:space="preserve"> เป็นบริการรับหลักทรัพย์ของเจ้าของหลักทรัพย์ไปเสนอขายต่อประชาชน </w:t>
      </w:r>
    </w:p>
    <w:p w:rsidR="00F31144" w:rsidRPr="009C2E21" w:rsidRDefault="00F31144" w:rsidP="009C2E21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="DilleniaUPC" w:hAnsi="DilleniaUPC" w:cs="DilleniaUPC"/>
          <w:sz w:val="30"/>
          <w:szCs w:val="30"/>
        </w:rPr>
      </w:pPr>
      <w:r w:rsidRPr="009C2E21">
        <w:rPr>
          <w:rFonts w:ascii="DilleniaUPC" w:hAnsi="DilleniaUPC" w:cs="DilleniaUPC"/>
          <w:sz w:val="30"/>
          <w:szCs w:val="30"/>
          <w:cs/>
        </w:rPr>
        <w:t xml:space="preserve">การบริหารเงินทุนส่วนบุคคล </w:t>
      </w:r>
      <w:r w:rsidRPr="009C2E21">
        <w:rPr>
          <w:rFonts w:ascii="DilleniaUPC" w:hAnsi="DilleniaUPC" w:cs="DilleniaUPC"/>
          <w:sz w:val="30"/>
          <w:szCs w:val="30"/>
        </w:rPr>
        <w:t>(Private Fund Management)</w:t>
      </w:r>
      <w:r w:rsidR="003C2AE5" w:rsidRPr="009C2E21">
        <w:rPr>
          <w:rFonts w:ascii="DilleniaUPC" w:hAnsi="DilleniaUPC" w:cs="DilleniaUPC"/>
          <w:sz w:val="30"/>
          <w:szCs w:val="30"/>
          <w:cs/>
        </w:rPr>
        <w:t xml:space="preserve"> เป็นบริการจัดการบริหารเงินหรือทรัพย์สินของลูกค้าเพื่อแสวงหาผลประโยชน์จากธุรกรรมหลักทรัพย์ประเภทต่างๆ</w:t>
      </w:r>
    </w:p>
    <w:p w:rsidR="00F31144" w:rsidRPr="009C2E21" w:rsidRDefault="00F31144" w:rsidP="009C2E21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="DilleniaUPC" w:hAnsi="DilleniaUPC" w:cs="DilleniaUPC"/>
          <w:sz w:val="30"/>
          <w:szCs w:val="30"/>
        </w:rPr>
      </w:pPr>
      <w:r w:rsidRPr="009C2E21">
        <w:rPr>
          <w:rFonts w:ascii="DilleniaUPC" w:hAnsi="DilleniaUPC" w:cs="DilleniaUPC"/>
          <w:sz w:val="30"/>
          <w:szCs w:val="30"/>
          <w:cs/>
        </w:rPr>
        <w:t xml:space="preserve">การเป็นที่ปรึกษาทางการเงิน </w:t>
      </w:r>
      <w:r w:rsidRPr="009C2E21">
        <w:rPr>
          <w:rFonts w:ascii="DilleniaUPC" w:hAnsi="DilleniaUPC" w:cs="DilleniaUPC"/>
          <w:sz w:val="30"/>
          <w:szCs w:val="30"/>
        </w:rPr>
        <w:t>(Financial Advisor)</w:t>
      </w:r>
      <w:r w:rsidR="003C2AE5" w:rsidRPr="009C2E21">
        <w:rPr>
          <w:rFonts w:ascii="DilleniaUPC" w:hAnsi="DilleniaUPC" w:cs="DilleniaUPC"/>
          <w:sz w:val="30"/>
          <w:szCs w:val="30"/>
          <w:cs/>
        </w:rPr>
        <w:t xml:space="preserve"> เป็นบริการให้คำแนะนำ</w:t>
      </w:r>
      <w:r w:rsidR="0039008F" w:rsidRPr="009C2E21">
        <w:rPr>
          <w:rFonts w:ascii="DilleniaUPC" w:hAnsi="DilleniaUPC" w:cs="DilleniaUPC"/>
          <w:sz w:val="30"/>
          <w:szCs w:val="30"/>
          <w:cs/>
        </w:rPr>
        <w:t>ปรึกษาทางการเงินในรูปแบบต่างๆแก่</w:t>
      </w:r>
      <w:r w:rsidR="003C2AE5" w:rsidRPr="009C2E21">
        <w:rPr>
          <w:rFonts w:ascii="DilleniaUPC" w:hAnsi="DilleniaUPC" w:cs="DilleniaUPC"/>
          <w:sz w:val="30"/>
          <w:szCs w:val="30"/>
          <w:cs/>
        </w:rPr>
        <w:t>ลูกค้า</w:t>
      </w:r>
      <w:r w:rsidR="0039008F" w:rsidRPr="009C2E21">
        <w:rPr>
          <w:rFonts w:ascii="DilleniaUPC" w:hAnsi="DilleniaUPC" w:cs="DilleniaUPC"/>
          <w:sz w:val="30"/>
          <w:szCs w:val="30"/>
          <w:cs/>
        </w:rPr>
        <w:t xml:space="preserve"> เช่น</w:t>
      </w:r>
      <w:r w:rsidR="008E704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9008F" w:rsidRPr="009C2E21">
        <w:rPr>
          <w:rFonts w:ascii="DilleniaUPC" w:hAnsi="DilleniaUPC" w:cs="DilleniaUPC"/>
          <w:sz w:val="30"/>
          <w:szCs w:val="30"/>
          <w:cs/>
        </w:rPr>
        <w:t xml:space="preserve">การระดมทุน การควบรวมกิจการ  </w:t>
      </w:r>
    </w:p>
    <w:p w:rsidR="00630DD9" w:rsidRPr="009C2E21" w:rsidRDefault="005C3687" w:rsidP="009C2E21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="DilleniaUPC" w:hAnsi="DilleniaUPC" w:cs="DilleniaUPC"/>
          <w:sz w:val="30"/>
          <w:szCs w:val="30"/>
        </w:rPr>
      </w:pPr>
      <w:r w:rsidRPr="009C2E21">
        <w:rPr>
          <w:rFonts w:ascii="DilleniaUPC" w:hAnsi="DilleniaUPC" w:cs="DilleniaUPC"/>
          <w:sz w:val="30"/>
          <w:szCs w:val="30"/>
          <w:cs/>
        </w:rPr>
        <w:t xml:space="preserve">การเป็นตัวแทนขายหน่วยลงทุน </w:t>
      </w:r>
      <w:r w:rsidR="000B35EB" w:rsidRPr="009C2E21">
        <w:rPr>
          <w:rFonts w:ascii="DilleniaUPC" w:hAnsi="DilleniaUPC" w:cs="DilleniaUPC"/>
          <w:sz w:val="30"/>
          <w:szCs w:val="30"/>
        </w:rPr>
        <w:t xml:space="preserve">(Selling Agent) </w:t>
      </w:r>
      <w:r w:rsidR="0039008F" w:rsidRPr="009C2E21">
        <w:rPr>
          <w:rFonts w:ascii="DilleniaUPC" w:hAnsi="DilleniaUPC" w:cs="DilleniaUPC"/>
          <w:sz w:val="30"/>
          <w:szCs w:val="30"/>
          <w:cs/>
        </w:rPr>
        <w:t>เป็นบริการที่นำเสนอผลิตภัณฑ์ด้านกองทุนรวมเสนอขายแก่ลูกค้า</w:t>
      </w:r>
      <w:r w:rsidR="00630DD9" w:rsidRPr="009C2E21">
        <w:rPr>
          <w:rFonts w:ascii="DilleniaUPC" w:hAnsi="DilleniaUPC" w:cs="DilleniaUPC"/>
          <w:sz w:val="30"/>
          <w:szCs w:val="30"/>
          <w:cs/>
        </w:rPr>
        <w:t>ซึ่งมีสองรูปแบบคือ</w:t>
      </w:r>
    </w:p>
    <w:p w:rsidR="00630DD9" w:rsidRPr="00C52BB7" w:rsidRDefault="00630DD9" w:rsidP="00C52BB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C52BB7">
        <w:rPr>
          <w:rFonts w:ascii="DilleniaUPC" w:hAnsi="DilleniaUPC" w:cs="DilleniaUPC"/>
          <w:sz w:val="30"/>
          <w:szCs w:val="30"/>
          <w:cs/>
        </w:rPr>
        <w:t>กรณี</w:t>
      </w:r>
      <w:r w:rsidR="000B35EB" w:rsidRPr="00C52BB7">
        <w:rPr>
          <w:rFonts w:ascii="DilleniaUPC" w:hAnsi="DilleniaUPC" w:cs="DilleniaUPC"/>
          <w:sz w:val="30"/>
          <w:szCs w:val="30"/>
          <w:cs/>
        </w:rPr>
        <w:t>เสนอขายให้ลูกค้าในรูปแบบ</w:t>
      </w:r>
      <w:r w:rsidRPr="00C52BB7">
        <w:rPr>
          <w:rFonts w:ascii="DilleniaUPC" w:hAnsi="DilleniaUPC" w:cs="DilleniaUPC"/>
          <w:sz w:val="30"/>
          <w:szCs w:val="30"/>
        </w:rPr>
        <w:t xml:space="preserve">Omnibus account </w:t>
      </w:r>
      <w:r w:rsidRPr="00C52BB7">
        <w:rPr>
          <w:rFonts w:ascii="DilleniaUPC" w:hAnsi="DilleniaUPC" w:cs="DilleniaUPC"/>
          <w:sz w:val="30"/>
          <w:szCs w:val="30"/>
          <w:cs/>
        </w:rPr>
        <w:t xml:space="preserve">ซึ่งลูกค้าเป็นลูกค้าของบริษัทหลักทรัพย์ ที่ไม่เปิดเผยชื่อให้ผู้บริหารกองทุนรวม </w:t>
      </w:r>
      <w:r w:rsidR="00DC7222" w:rsidRPr="00C52BB7">
        <w:rPr>
          <w:rFonts w:ascii="DilleniaUPC" w:hAnsi="DilleniaUPC" w:cs="DilleniaUPC"/>
          <w:sz w:val="30"/>
          <w:szCs w:val="30"/>
          <w:cs/>
        </w:rPr>
        <w:t>(</w:t>
      </w:r>
      <w:r w:rsidRPr="00C52BB7">
        <w:rPr>
          <w:rFonts w:ascii="DilleniaUPC" w:hAnsi="DilleniaUPC" w:cs="DilleniaUPC"/>
          <w:sz w:val="30"/>
          <w:szCs w:val="30"/>
          <w:cs/>
        </w:rPr>
        <w:t>บริษัทหลักทรัพย์จัดการกองทุน "</w:t>
      </w:r>
      <w:proofErr w:type="spellStart"/>
      <w:r w:rsidRPr="00C52BB7">
        <w:rPr>
          <w:rFonts w:ascii="DilleniaUPC" w:hAnsi="DilleniaUPC" w:cs="DilleniaUPC"/>
          <w:sz w:val="30"/>
          <w:szCs w:val="30"/>
          <w:cs/>
        </w:rPr>
        <w:t>บลจ</w:t>
      </w:r>
      <w:proofErr w:type="spellEnd"/>
      <w:r w:rsidRPr="00C52BB7">
        <w:rPr>
          <w:rFonts w:ascii="DilleniaUPC" w:hAnsi="DilleniaUPC" w:cs="DilleniaUPC"/>
          <w:sz w:val="30"/>
          <w:szCs w:val="30"/>
          <w:cs/>
        </w:rPr>
        <w:t xml:space="preserve">.") ทราบ  </w:t>
      </w:r>
      <w:r w:rsidR="000B35EB" w:rsidRPr="00C52BB7">
        <w:rPr>
          <w:rFonts w:ascii="DilleniaUPC" w:hAnsi="DilleniaUPC" w:cs="DilleniaUPC"/>
          <w:sz w:val="30"/>
          <w:szCs w:val="30"/>
          <w:cs/>
        </w:rPr>
        <w:t>การซื้อขายจะระบุในนามของบริษัทหลักทรัพย์เป็นผู้ซื้อขายให้กับลูกค้าของบริษัทหลักทรัพย์</w:t>
      </w:r>
    </w:p>
    <w:p w:rsidR="000B35EB" w:rsidRPr="00C52BB7" w:rsidRDefault="00630DD9" w:rsidP="00C52BB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C52BB7">
        <w:rPr>
          <w:rFonts w:ascii="DilleniaUPC" w:hAnsi="DilleniaUPC" w:cs="DilleniaUPC"/>
          <w:sz w:val="30"/>
          <w:szCs w:val="30"/>
          <w:cs/>
        </w:rPr>
        <w:t xml:space="preserve">กรณี </w:t>
      </w:r>
      <w:r w:rsidRPr="00C52BB7">
        <w:rPr>
          <w:rFonts w:ascii="DilleniaUPC" w:hAnsi="DilleniaUPC" w:cs="DilleniaUPC"/>
          <w:sz w:val="30"/>
          <w:szCs w:val="30"/>
        </w:rPr>
        <w:t xml:space="preserve">selling agent </w:t>
      </w:r>
      <w:r w:rsidRPr="00C52BB7">
        <w:rPr>
          <w:rFonts w:ascii="DilleniaUPC" w:hAnsi="DilleniaUPC" w:cs="DilleniaUPC"/>
          <w:sz w:val="30"/>
          <w:szCs w:val="30"/>
          <w:cs/>
        </w:rPr>
        <w:t>ลูกค้าเปิดบัญชีกับ</w:t>
      </w:r>
      <w:r w:rsidR="008E704E">
        <w:rPr>
          <w:rFonts w:ascii="DilleniaUPC" w:hAnsi="DilleniaUPC" w:cs="DilleniaUPC" w:hint="cs"/>
          <w:sz w:val="30"/>
          <w:szCs w:val="30"/>
          <w:cs/>
        </w:rPr>
        <w:t xml:space="preserve"> </w:t>
      </w:r>
      <w:proofErr w:type="spellStart"/>
      <w:r w:rsidRPr="00C52BB7">
        <w:rPr>
          <w:rFonts w:ascii="DilleniaUPC" w:hAnsi="DilleniaUPC" w:cs="DilleniaUPC"/>
          <w:sz w:val="30"/>
          <w:szCs w:val="30"/>
          <w:cs/>
        </w:rPr>
        <w:t>บลจ</w:t>
      </w:r>
      <w:proofErr w:type="spellEnd"/>
      <w:r w:rsidRPr="00C52BB7">
        <w:rPr>
          <w:rFonts w:ascii="DilleniaUPC" w:hAnsi="DilleniaUPC" w:cs="DilleniaUPC"/>
          <w:sz w:val="30"/>
          <w:szCs w:val="30"/>
          <w:cs/>
        </w:rPr>
        <w:t xml:space="preserve">. โดยผ่านการแนะนำของบริษัทหลักทรัพย์ และลูกค้าต้องชำระค่าหน่วยลงทุนตรงกับ </w:t>
      </w:r>
      <w:proofErr w:type="spellStart"/>
      <w:r w:rsidRPr="00C52BB7">
        <w:rPr>
          <w:rFonts w:ascii="DilleniaUPC" w:hAnsi="DilleniaUPC" w:cs="DilleniaUPC"/>
          <w:sz w:val="30"/>
          <w:szCs w:val="30"/>
          <w:cs/>
        </w:rPr>
        <w:t>บลจ</w:t>
      </w:r>
      <w:proofErr w:type="spellEnd"/>
      <w:r w:rsidRPr="00C52BB7">
        <w:rPr>
          <w:rFonts w:ascii="DilleniaUPC" w:hAnsi="DilleniaUPC" w:cs="DilleniaUPC"/>
          <w:sz w:val="30"/>
          <w:szCs w:val="30"/>
          <w:cs/>
        </w:rPr>
        <w:t>. กรณีเช่นนี้ บริษัทหลักทรัพย์จะรู้จักลูกค้าในตอนเปิดบัญชีหรือทำธุรกรรม แต่การชำระเงินจะชำระให้กับ</w:t>
      </w:r>
      <w:r w:rsidR="008E704E">
        <w:rPr>
          <w:rFonts w:ascii="DilleniaUPC" w:hAnsi="DilleniaUPC" w:cs="DilleniaUPC" w:hint="cs"/>
          <w:sz w:val="30"/>
          <w:szCs w:val="30"/>
          <w:cs/>
        </w:rPr>
        <w:t xml:space="preserve"> </w:t>
      </w:r>
      <w:proofErr w:type="spellStart"/>
      <w:r w:rsidRPr="00C52BB7">
        <w:rPr>
          <w:rFonts w:ascii="DilleniaUPC" w:hAnsi="DilleniaUPC" w:cs="DilleniaUPC"/>
          <w:sz w:val="30"/>
          <w:szCs w:val="30"/>
          <w:cs/>
        </w:rPr>
        <w:t>บลจ</w:t>
      </w:r>
      <w:proofErr w:type="spellEnd"/>
      <w:r w:rsidRPr="00C52BB7">
        <w:rPr>
          <w:rFonts w:ascii="DilleniaUPC" w:hAnsi="DilleniaUPC" w:cs="DilleniaUPC"/>
          <w:sz w:val="30"/>
          <w:szCs w:val="30"/>
          <w:cs/>
        </w:rPr>
        <w:t xml:space="preserve">. ดังนั้นการเคลื่อนไหวทางบัญชีของลูกค้า ทาง </w:t>
      </w:r>
      <w:proofErr w:type="spellStart"/>
      <w:r w:rsidRPr="00C52BB7">
        <w:rPr>
          <w:rFonts w:ascii="DilleniaUPC" w:hAnsi="DilleniaUPC" w:cs="DilleniaUPC"/>
          <w:sz w:val="30"/>
          <w:szCs w:val="30"/>
          <w:cs/>
        </w:rPr>
        <w:t>บลจ</w:t>
      </w:r>
      <w:proofErr w:type="spellEnd"/>
      <w:r w:rsidRPr="00C52BB7">
        <w:rPr>
          <w:rFonts w:ascii="DilleniaUPC" w:hAnsi="DilleniaUPC" w:cs="DilleniaUPC"/>
          <w:sz w:val="30"/>
          <w:szCs w:val="30"/>
          <w:cs/>
        </w:rPr>
        <w:t>. จะสามารถตรวจสอบได้ เนื่องจากลูกค้าสามารถทำธุรกรรมได้กับหลายๆ ตัวแทน</w:t>
      </w:r>
    </w:p>
    <w:p w:rsidR="005C3687" w:rsidRPr="009C2E21" w:rsidRDefault="000B35EB" w:rsidP="00343C1A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="DilleniaUPC" w:hAnsi="DilleniaUPC" w:cs="DilleniaUPC"/>
          <w:sz w:val="30"/>
          <w:szCs w:val="30"/>
        </w:rPr>
      </w:pPr>
      <w:r w:rsidRPr="009C2E21">
        <w:rPr>
          <w:rFonts w:ascii="DilleniaUPC" w:hAnsi="DilleniaUPC" w:cs="DilleniaUPC"/>
          <w:sz w:val="30"/>
          <w:szCs w:val="30"/>
          <w:cs/>
        </w:rPr>
        <w:t xml:space="preserve">การยืมและให้ยืมหลักทรัพย์ </w:t>
      </w:r>
      <w:r w:rsidRPr="009C2E21">
        <w:rPr>
          <w:rFonts w:ascii="DilleniaUPC" w:hAnsi="DilleniaUPC" w:cs="DilleniaUPC"/>
          <w:sz w:val="30"/>
          <w:szCs w:val="30"/>
        </w:rPr>
        <w:t xml:space="preserve">(Securities </w:t>
      </w:r>
      <w:r w:rsidR="00883A3B" w:rsidRPr="009C2E21">
        <w:rPr>
          <w:rFonts w:ascii="DilleniaUPC" w:hAnsi="DilleniaUPC" w:cs="DilleniaUPC"/>
          <w:sz w:val="30"/>
          <w:szCs w:val="30"/>
        </w:rPr>
        <w:t>B</w:t>
      </w:r>
      <w:r w:rsidRPr="009C2E21">
        <w:rPr>
          <w:rFonts w:ascii="DilleniaUPC" w:hAnsi="DilleniaUPC" w:cs="DilleniaUPC"/>
          <w:sz w:val="30"/>
          <w:szCs w:val="30"/>
        </w:rPr>
        <w:t>orrowing and Lending)</w:t>
      </w:r>
      <w:r w:rsidRPr="009C2E21">
        <w:rPr>
          <w:rFonts w:ascii="DilleniaUPC" w:hAnsi="DilleniaUPC" w:cs="DilleniaUPC"/>
          <w:sz w:val="30"/>
          <w:szCs w:val="30"/>
          <w:cs/>
        </w:rPr>
        <w:t xml:space="preserve"> เป็นบริการยืมและให้ยืมหลักทรัพย์</w:t>
      </w:r>
      <w:r w:rsidR="006376AE" w:rsidRPr="009C2E21">
        <w:rPr>
          <w:rFonts w:ascii="DilleniaUPC" w:hAnsi="DilleniaUPC" w:cs="DilleniaUPC"/>
          <w:sz w:val="30"/>
          <w:szCs w:val="30"/>
          <w:cs/>
        </w:rPr>
        <w:t>แก่</w:t>
      </w:r>
      <w:r w:rsidRPr="009C2E21">
        <w:rPr>
          <w:rFonts w:ascii="DilleniaUPC" w:hAnsi="DilleniaUPC" w:cs="DilleniaUPC"/>
          <w:sz w:val="30"/>
          <w:szCs w:val="30"/>
          <w:cs/>
        </w:rPr>
        <w:t>ลูกค้าซึ่งอาจเป็นการยืมเพื่อส่งมอบ หรือยืมเพื่อ</w:t>
      </w:r>
      <w:proofErr w:type="spellStart"/>
      <w:r w:rsidRPr="009C2E21">
        <w:rPr>
          <w:rFonts w:ascii="DilleniaUPC" w:hAnsi="DilleniaUPC" w:cs="DilleniaUPC"/>
          <w:sz w:val="30"/>
          <w:szCs w:val="30"/>
          <w:cs/>
        </w:rPr>
        <w:t>ขายชอร์ต</w:t>
      </w:r>
      <w:proofErr w:type="spellEnd"/>
      <w:r w:rsidRPr="009C2E21">
        <w:rPr>
          <w:rFonts w:ascii="DilleniaUPC" w:hAnsi="DilleniaUPC" w:cs="DilleniaUPC"/>
          <w:sz w:val="30"/>
          <w:szCs w:val="30"/>
          <w:cs/>
        </w:rPr>
        <w:t>ในตลาดหลักทรัพย์</w:t>
      </w:r>
    </w:p>
    <w:p w:rsidR="003C2AE5" w:rsidRDefault="003C2AE5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  <w:cs/>
        </w:rPr>
        <w:tab/>
      </w:r>
      <w:r w:rsidR="0039008F" w:rsidRPr="003621BA">
        <w:rPr>
          <w:rFonts w:ascii="DilleniaUPC" w:hAnsi="DilleniaUPC" w:cs="DilleniaUPC"/>
          <w:sz w:val="30"/>
          <w:szCs w:val="30"/>
          <w:cs/>
        </w:rPr>
        <w:t xml:space="preserve">ทั้งนี้ </w:t>
      </w:r>
      <w:r w:rsidRPr="003621BA">
        <w:rPr>
          <w:rFonts w:ascii="DilleniaUPC" w:hAnsi="DilleniaUPC" w:cs="DilleniaUPC"/>
          <w:sz w:val="30"/>
          <w:szCs w:val="30"/>
          <w:cs/>
        </w:rPr>
        <w:t xml:space="preserve">ยกเว้นใบอนุญาตการเป็นที่ปรึกษาการลงทุน </w:t>
      </w:r>
      <w:r w:rsidRPr="003621BA">
        <w:rPr>
          <w:rFonts w:ascii="DilleniaUPC" w:hAnsi="DilleniaUPC" w:cs="DilleniaUPC"/>
          <w:sz w:val="30"/>
          <w:szCs w:val="30"/>
        </w:rPr>
        <w:t>(Investment Advisor)</w:t>
      </w:r>
      <w:r w:rsidRPr="003621BA">
        <w:rPr>
          <w:rFonts w:ascii="DilleniaUPC" w:hAnsi="DilleniaUPC" w:cs="DilleniaUPC"/>
          <w:sz w:val="30"/>
          <w:szCs w:val="30"/>
          <w:cs/>
        </w:rPr>
        <w:t xml:space="preserve"> เป็นบริการให้คำแนะนำแก่ประชาชนเกี่ยวกับคุณค่าของ</w:t>
      </w:r>
      <w:r w:rsidR="000B35EB" w:rsidRPr="003621BA">
        <w:rPr>
          <w:rFonts w:ascii="DilleniaUPC" w:hAnsi="DilleniaUPC" w:cs="DilleniaUPC"/>
          <w:sz w:val="30"/>
          <w:szCs w:val="30"/>
          <w:cs/>
        </w:rPr>
        <w:t>หลักทรัพย์หรือ</w:t>
      </w:r>
      <w:r w:rsidRPr="003621BA">
        <w:rPr>
          <w:rFonts w:ascii="DilleniaUPC" w:hAnsi="DilleniaUPC" w:cs="DilleniaUPC"/>
          <w:sz w:val="30"/>
          <w:szCs w:val="30"/>
          <w:cs/>
        </w:rPr>
        <w:t>ตราสาร หรือความเหมาะสมในการลงทุนที่เกี่ยวกับตราสารนั้น ที่เป็นทางค้าปกติที่ได้รับค่าธรรมเนียมตอบแทน</w:t>
      </w:r>
    </w:p>
    <w:p w:rsidR="00561F61" w:rsidRDefault="00561F61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</w:p>
    <w:p w:rsidR="00561F61" w:rsidRDefault="00561F61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</w:p>
    <w:p w:rsidR="00561F61" w:rsidRDefault="00561F61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</w:p>
    <w:p w:rsidR="00561F61" w:rsidRDefault="00561F61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</w:p>
    <w:p w:rsidR="001F3774" w:rsidRDefault="001F3774" w:rsidP="008E704E">
      <w:pPr>
        <w:spacing w:after="0" w:line="240" w:lineRule="auto"/>
        <w:rPr>
          <w:rFonts w:ascii="DilleniaUPC" w:hAnsi="DilleniaUPC" w:cs="DilleniaUPC"/>
          <w:bCs/>
          <w:sz w:val="30"/>
          <w:szCs w:val="30"/>
          <w:u w:val="single"/>
        </w:rPr>
      </w:pPr>
      <w:r w:rsidRPr="003621BA">
        <w:rPr>
          <w:rFonts w:ascii="DilleniaUPC" w:hAnsi="DilleniaUPC" w:cs="DilleniaUPC"/>
          <w:bCs/>
          <w:sz w:val="30"/>
          <w:szCs w:val="30"/>
          <w:u w:val="single"/>
          <w:cs/>
        </w:rPr>
        <w:lastRenderedPageBreak/>
        <w:t>ปัจจัยในการประเมินความเสี่ยง</w:t>
      </w:r>
      <w:r w:rsidR="006376AE" w:rsidRPr="003621BA">
        <w:rPr>
          <w:rFonts w:ascii="DilleniaUPC" w:hAnsi="DilleniaUPC" w:cs="DilleniaUPC"/>
          <w:bCs/>
          <w:sz w:val="30"/>
          <w:szCs w:val="30"/>
          <w:u w:val="single"/>
          <w:cs/>
        </w:rPr>
        <w:t>ด้านการฟอกเงิน</w:t>
      </w:r>
    </w:p>
    <w:p w:rsidR="003621BA" w:rsidRPr="003621BA" w:rsidRDefault="003621BA" w:rsidP="00343C1A">
      <w:pPr>
        <w:spacing w:after="0" w:line="240" w:lineRule="auto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39008F" w:rsidRPr="003621BA" w:rsidRDefault="005C3687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</w:rPr>
        <w:tab/>
      </w:r>
      <w:r w:rsidR="0039008F" w:rsidRPr="003621BA">
        <w:rPr>
          <w:rFonts w:ascii="DilleniaUPC" w:hAnsi="DilleniaUPC" w:cs="DilleniaUPC"/>
          <w:sz w:val="30"/>
          <w:szCs w:val="30"/>
          <w:cs/>
        </w:rPr>
        <w:t>ในการประเมินความเสี่ยงของแต่ละ</w:t>
      </w:r>
      <w:r w:rsidR="00555C99" w:rsidRPr="003621BA">
        <w:rPr>
          <w:rFonts w:ascii="DilleniaUPC" w:hAnsi="DilleniaUPC" w:cs="DilleniaUPC"/>
          <w:sz w:val="30"/>
          <w:szCs w:val="30"/>
          <w:cs/>
        </w:rPr>
        <w:t>ธุรกรรมที่ให้บริการ</w:t>
      </w:r>
      <w:r w:rsidR="0039008F" w:rsidRPr="003621BA">
        <w:rPr>
          <w:rFonts w:ascii="DilleniaUPC" w:hAnsi="DilleniaUPC" w:cs="DilleniaUPC"/>
          <w:sz w:val="30"/>
          <w:szCs w:val="30"/>
          <w:cs/>
        </w:rPr>
        <w:t xml:space="preserve"> ได้พิจารณาปัจจัยที่ใช้ในการประเมินตามที่กฎกระทรวงกำหนดดังนี้</w:t>
      </w:r>
    </w:p>
    <w:p w:rsidR="00F31144" w:rsidRPr="003621BA" w:rsidRDefault="0039008F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  <w:u w:val="single"/>
        </w:rPr>
      </w:pPr>
      <w:r w:rsidRPr="003621BA">
        <w:rPr>
          <w:rFonts w:ascii="DilleniaUPC" w:hAnsi="DilleniaUPC" w:cs="DilleniaUPC"/>
          <w:sz w:val="30"/>
          <w:szCs w:val="30"/>
          <w:cs/>
        </w:rPr>
        <w:t xml:space="preserve">1. </w:t>
      </w:r>
      <w:r w:rsidR="002A3B14">
        <w:rPr>
          <w:rFonts w:ascii="DilleniaUPC" w:hAnsi="DilleniaUPC" w:cs="DilleniaUPC"/>
          <w:sz w:val="30"/>
          <w:szCs w:val="30"/>
          <w:u w:val="single"/>
          <w:cs/>
        </w:rPr>
        <w:t>การโอน เปลี่ยนมือ</w:t>
      </w:r>
      <w:r w:rsidRPr="003621BA">
        <w:rPr>
          <w:rFonts w:ascii="DilleniaUPC" w:hAnsi="DilleniaUPC" w:cs="DilleniaUPC"/>
          <w:sz w:val="30"/>
          <w:szCs w:val="30"/>
          <w:u w:val="single"/>
          <w:cs/>
        </w:rPr>
        <w:t>ผลิตภัณฑ์หรือสิทธิในการใช้บริการรวมถึงได้รับผลประโยชน์จากการใช้บริการ สามารถโอนหรือเปลี่ยนมือให้แก่เจ้าของรายอื่นได้</w:t>
      </w:r>
    </w:p>
    <w:p w:rsidR="00F55F79" w:rsidRPr="003621BA" w:rsidRDefault="00F55F79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  <w:cs/>
        </w:rPr>
        <w:tab/>
      </w:r>
      <w:r w:rsidR="00DC7222" w:rsidRPr="003621BA">
        <w:rPr>
          <w:rFonts w:ascii="DilleniaUPC" w:hAnsi="DilleniaUPC" w:cs="DilleniaUPC"/>
          <w:sz w:val="30"/>
          <w:szCs w:val="30"/>
          <w:cs/>
        </w:rPr>
        <w:t>ในการรับ</w:t>
      </w:r>
      <w:r w:rsidRPr="003621BA">
        <w:rPr>
          <w:rFonts w:ascii="DilleniaUPC" w:hAnsi="DilleniaUPC" w:cs="DilleniaUPC"/>
          <w:sz w:val="30"/>
          <w:szCs w:val="30"/>
          <w:cs/>
        </w:rPr>
        <w:t>ลูกค้าแต่ละรายต้องเปิดบัญชีกับบริษัทก่อนเริ่มใช้บริการ และตามระเบียบข้อกำหนดของธุรกิจหลักทรัพย์ การสั่งซื้อขาย</w:t>
      </w:r>
      <w:r w:rsidR="00584BF3" w:rsidRPr="003621BA">
        <w:rPr>
          <w:rFonts w:ascii="DilleniaUPC" w:hAnsi="DilleniaUPC" w:cs="DilleniaUPC"/>
          <w:sz w:val="30"/>
          <w:szCs w:val="30"/>
          <w:cs/>
        </w:rPr>
        <w:t xml:space="preserve">หรือโอนหลักทรัพย์ </w:t>
      </w:r>
      <w:r w:rsidRPr="003621BA">
        <w:rPr>
          <w:rFonts w:ascii="DilleniaUPC" w:hAnsi="DilleniaUPC" w:cs="DilleniaUPC"/>
          <w:sz w:val="30"/>
          <w:szCs w:val="30"/>
          <w:cs/>
        </w:rPr>
        <w:t>ต้อง</w:t>
      </w:r>
      <w:r w:rsidR="00584BF3" w:rsidRPr="003621BA">
        <w:rPr>
          <w:rFonts w:ascii="DilleniaUPC" w:hAnsi="DilleniaUPC" w:cs="DilleniaUPC"/>
          <w:sz w:val="30"/>
          <w:szCs w:val="30"/>
          <w:cs/>
        </w:rPr>
        <w:t>เป็นคำสั่งที่มา</w:t>
      </w:r>
      <w:r w:rsidRPr="003621BA">
        <w:rPr>
          <w:rFonts w:ascii="DilleniaUPC" w:hAnsi="DilleniaUPC" w:cs="DilleniaUPC"/>
          <w:sz w:val="30"/>
          <w:szCs w:val="30"/>
          <w:cs/>
        </w:rPr>
        <w:t>จากตัวลูกค้าหรือบุคคลที่ลูกค้ามอบหมาย และเมื่อมีการรับหรือจ่ายชำระค่าหลักทรัพย์ จะดำเนินการผ่านบัญชี</w:t>
      </w:r>
      <w:r w:rsidR="002A3B14">
        <w:rPr>
          <w:rFonts w:ascii="DilleniaUPC" w:hAnsi="DilleniaUPC" w:cs="DilleniaUPC" w:hint="cs"/>
          <w:sz w:val="30"/>
          <w:szCs w:val="30"/>
          <w:cs/>
        </w:rPr>
        <w:t>ธนาคาร</w:t>
      </w:r>
      <w:r w:rsidRPr="003621BA">
        <w:rPr>
          <w:rFonts w:ascii="DilleniaUPC" w:hAnsi="DilleniaUPC" w:cs="DilleniaUPC"/>
          <w:sz w:val="30"/>
          <w:szCs w:val="30"/>
          <w:cs/>
        </w:rPr>
        <w:t xml:space="preserve">ของลูกค้าเท่านั้นตามเกณฑ์ของ </w:t>
      </w:r>
      <w:proofErr w:type="spellStart"/>
      <w:r w:rsidRPr="003621BA">
        <w:rPr>
          <w:rFonts w:ascii="DilleniaUPC" w:hAnsi="DilleniaUPC" w:cs="DilleniaUPC"/>
          <w:sz w:val="30"/>
          <w:szCs w:val="30"/>
          <w:cs/>
        </w:rPr>
        <w:t>ก</w:t>
      </w:r>
      <w:r w:rsidR="00DD4933">
        <w:rPr>
          <w:rFonts w:ascii="DilleniaUPC" w:hAnsi="DilleniaUPC" w:cs="DilleniaUPC" w:hint="cs"/>
          <w:sz w:val="30"/>
          <w:szCs w:val="30"/>
          <w:cs/>
        </w:rPr>
        <w:t>.</w:t>
      </w:r>
      <w:r w:rsidRPr="003621BA">
        <w:rPr>
          <w:rFonts w:ascii="DilleniaUPC" w:hAnsi="DilleniaUPC" w:cs="DilleniaUPC"/>
          <w:sz w:val="30"/>
          <w:szCs w:val="30"/>
          <w:cs/>
        </w:rPr>
        <w:t>ล</w:t>
      </w:r>
      <w:r w:rsidR="00DD4933">
        <w:rPr>
          <w:rFonts w:ascii="DilleniaUPC" w:hAnsi="DilleniaUPC" w:cs="DilleniaUPC" w:hint="cs"/>
          <w:sz w:val="30"/>
          <w:szCs w:val="30"/>
          <w:cs/>
        </w:rPr>
        <w:t>.</w:t>
      </w:r>
      <w:r w:rsidRPr="003621BA">
        <w:rPr>
          <w:rFonts w:ascii="DilleniaUPC" w:hAnsi="DilleniaUPC" w:cs="DilleniaUPC"/>
          <w:sz w:val="30"/>
          <w:szCs w:val="30"/>
          <w:cs/>
        </w:rPr>
        <w:t>ต</w:t>
      </w:r>
      <w:proofErr w:type="spellEnd"/>
      <w:r w:rsidRPr="003621BA">
        <w:rPr>
          <w:rFonts w:ascii="DilleniaUPC" w:hAnsi="DilleniaUPC" w:cs="DilleniaUPC"/>
          <w:sz w:val="30"/>
          <w:szCs w:val="30"/>
          <w:cs/>
        </w:rPr>
        <w:t>. และไม่สามารถทำการรับจ่ายเป็นเงินสดได้</w:t>
      </w:r>
      <w:r w:rsidR="00DC7222" w:rsidRPr="003621BA">
        <w:rPr>
          <w:rFonts w:ascii="DilleniaUPC" w:hAnsi="DilleniaUPC" w:cs="DilleniaUPC"/>
          <w:sz w:val="30"/>
          <w:szCs w:val="30"/>
          <w:cs/>
        </w:rPr>
        <w:t>ในทันที</w:t>
      </w:r>
      <w:r w:rsidRPr="003621BA">
        <w:rPr>
          <w:rFonts w:ascii="DilleniaUPC" w:hAnsi="DilleniaUPC" w:cs="DilleniaUPC"/>
          <w:sz w:val="30"/>
          <w:szCs w:val="30"/>
          <w:cs/>
        </w:rPr>
        <w:t xml:space="preserve">โดยเด็ดขาด </w:t>
      </w:r>
      <w:r w:rsidR="00DC7222" w:rsidRPr="003621BA">
        <w:rPr>
          <w:rFonts w:ascii="DilleniaUPC" w:hAnsi="DilleniaUPC" w:cs="DilleniaUPC"/>
          <w:sz w:val="30"/>
          <w:szCs w:val="30"/>
          <w:cs/>
        </w:rPr>
        <w:t>ประกอบกับกระบวนการชำระราคาและส่งมอบที่ทำผ่านศูนย์จะ</w:t>
      </w:r>
      <w:r w:rsidR="006376AE" w:rsidRPr="003621BA">
        <w:rPr>
          <w:rFonts w:ascii="DilleniaUPC" w:hAnsi="DilleniaUPC" w:cs="DilleniaUPC"/>
          <w:sz w:val="30"/>
          <w:szCs w:val="30"/>
          <w:cs/>
        </w:rPr>
        <w:t>ทำให้ลูกค้าได้รับเงินภายใน</w:t>
      </w:r>
      <w:r w:rsidR="00DC7222" w:rsidRPr="003621BA">
        <w:rPr>
          <w:rFonts w:ascii="DilleniaUPC" w:hAnsi="DilleniaUPC" w:cs="DilleniaUPC"/>
          <w:sz w:val="30"/>
          <w:szCs w:val="30"/>
          <w:cs/>
        </w:rPr>
        <w:t>เวลาอย่างน้อย</w:t>
      </w:r>
      <w:r w:rsidR="00DD493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376AE" w:rsidRPr="003621BA">
        <w:rPr>
          <w:rFonts w:ascii="DilleniaUPC" w:hAnsi="DilleniaUPC" w:cs="DilleniaUPC"/>
          <w:sz w:val="30"/>
          <w:szCs w:val="30"/>
          <w:cs/>
        </w:rPr>
        <w:t>2</w:t>
      </w:r>
      <w:r w:rsidR="00DC7222" w:rsidRPr="003621BA">
        <w:rPr>
          <w:rFonts w:ascii="DilleniaUPC" w:hAnsi="DilleniaUPC" w:cs="DilleniaUPC"/>
          <w:sz w:val="30"/>
          <w:szCs w:val="30"/>
          <w:cs/>
        </w:rPr>
        <w:t xml:space="preserve"> หรือ </w:t>
      </w:r>
      <w:r w:rsidR="006376AE" w:rsidRPr="003621BA">
        <w:rPr>
          <w:rFonts w:ascii="DilleniaUPC" w:hAnsi="DilleniaUPC" w:cs="DilleniaUPC"/>
          <w:sz w:val="30"/>
          <w:szCs w:val="30"/>
          <w:cs/>
        </w:rPr>
        <w:t>4</w:t>
      </w:r>
      <w:r w:rsidR="00DC7222" w:rsidRPr="003621BA">
        <w:rPr>
          <w:rFonts w:ascii="DilleniaUPC" w:hAnsi="DilleniaUPC" w:cs="DilleniaUPC"/>
          <w:sz w:val="30"/>
          <w:szCs w:val="30"/>
          <w:cs/>
        </w:rPr>
        <w:t xml:space="preserve"> วันแล้วแต่ประเภทผลิตภัณฑ์ </w:t>
      </w:r>
      <w:r w:rsidRPr="003621BA">
        <w:rPr>
          <w:rFonts w:ascii="DilleniaUPC" w:hAnsi="DilleniaUPC" w:cs="DilleniaUPC"/>
          <w:sz w:val="30"/>
          <w:szCs w:val="30"/>
          <w:cs/>
        </w:rPr>
        <w:t>ดังนั้นความเสี่ยงในการฟอกเงินโดยไม่ทราบผู้รับเงิน</w:t>
      </w:r>
      <w:r w:rsidR="00584BF3" w:rsidRPr="003621BA">
        <w:rPr>
          <w:rFonts w:ascii="DilleniaUPC" w:hAnsi="DilleniaUPC" w:cs="DilleniaUPC"/>
          <w:sz w:val="30"/>
          <w:szCs w:val="30"/>
          <w:cs/>
        </w:rPr>
        <w:t>หรือผู้รับโอน</w:t>
      </w:r>
      <w:r w:rsidRPr="003621BA">
        <w:rPr>
          <w:rFonts w:ascii="DilleniaUPC" w:hAnsi="DilleniaUPC" w:cs="DilleniaUPC"/>
          <w:sz w:val="30"/>
          <w:szCs w:val="30"/>
          <w:cs/>
        </w:rPr>
        <w:t>จึงพิจารณาได้ว่า</w:t>
      </w:r>
      <w:r w:rsidR="006376AE" w:rsidRPr="003621BA">
        <w:rPr>
          <w:rFonts w:ascii="DilleniaUPC" w:hAnsi="DilleniaUPC" w:cs="DilleniaUPC"/>
          <w:sz w:val="30"/>
          <w:szCs w:val="30"/>
          <w:cs/>
        </w:rPr>
        <w:t>มีความเสี่ยงด้านการฟอกเงิน</w:t>
      </w:r>
      <w:r w:rsidRPr="003621BA">
        <w:rPr>
          <w:rFonts w:ascii="DilleniaUPC" w:hAnsi="DilleniaUPC" w:cs="DilleniaUPC"/>
          <w:sz w:val="30"/>
          <w:szCs w:val="30"/>
          <w:cs/>
        </w:rPr>
        <w:t xml:space="preserve">ต่ำ </w:t>
      </w:r>
    </w:p>
    <w:p w:rsidR="0039008F" w:rsidRPr="003621BA" w:rsidRDefault="00F55F79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  <w:cs/>
        </w:rPr>
        <w:t xml:space="preserve">2. </w:t>
      </w:r>
      <w:r w:rsidR="00584BF3" w:rsidRPr="003621BA">
        <w:rPr>
          <w:rFonts w:ascii="DilleniaUPC" w:hAnsi="DilleniaUPC" w:cs="DilleniaUPC"/>
          <w:color w:val="000000"/>
          <w:sz w:val="30"/>
          <w:szCs w:val="30"/>
          <w:u w:val="single"/>
          <w:cs/>
        </w:rPr>
        <w:t>การเปลี่ยน</w:t>
      </w:r>
      <w:r w:rsidR="00584BF3" w:rsidRPr="003621BA">
        <w:rPr>
          <w:rFonts w:ascii="DilleniaUPC" w:hAnsi="DilleniaUPC" w:cs="DilleniaUPC"/>
          <w:sz w:val="30"/>
          <w:szCs w:val="30"/>
          <w:u w:val="single"/>
          <w:cs/>
        </w:rPr>
        <w:t>ผลิตภัณฑ์หรือสิทธิในการใช้บริการเป็นเงินสดได้ในขั้นตอนสุดท้าย</w:t>
      </w:r>
    </w:p>
    <w:p w:rsidR="00584BF3" w:rsidRPr="003621BA" w:rsidRDefault="002A3B14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ab/>
      </w:r>
      <w:r w:rsidR="00584BF3" w:rsidRPr="003621BA">
        <w:rPr>
          <w:rFonts w:ascii="DilleniaUPC" w:hAnsi="DilleniaUPC" w:cs="DilleniaUPC"/>
          <w:sz w:val="30"/>
          <w:szCs w:val="30"/>
          <w:cs/>
        </w:rPr>
        <w:t>การรับจ่ายชำระค่าหลักทรัพย์ไม่ว่าในธุรกรรมประเภทใด บริษัทหลักทรัพย์จะมีข้อกำหนดที่ลูกค้าต้องชำระหรือรับชำระผ่านบัญชีของลูกค้า</w:t>
      </w:r>
      <w:r>
        <w:rPr>
          <w:rFonts w:ascii="DilleniaUPC" w:hAnsi="DilleniaUPC" w:cs="DilleniaUPC" w:hint="cs"/>
          <w:sz w:val="30"/>
          <w:szCs w:val="30"/>
          <w:cs/>
        </w:rPr>
        <w:t>เช่นเดียวกับการโอน เปลี่ยนมือผลิตภัณฑ์</w:t>
      </w:r>
      <w:r w:rsidR="00584BF3" w:rsidRPr="003621BA">
        <w:rPr>
          <w:rFonts w:ascii="DilleniaUPC" w:hAnsi="DilleniaUPC" w:cs="DilleniaUPC"/>
          <w:sz w:val="30"/>
          <w:szCs w:val="30"/>
          <w:cs/>
        </w:rPr>
        <w:t xml:space="preserve"> จึงทำให้สามารถตรวจสอบผู้รับเงินได้ครบถ้วนทุกรายการจึงพิจารณาว่าเป็นความเสี่ยง</w:t>
      </w:r>
      <w:r w:rsidR="00DC7222" w:rsidRPr="003621BA">
        <w:rPr>
          <w:rFonts w:ascii="DilleniaUPC" w:hAnsi="DilleniaUPC" w:cs="DilleniaUPC"/>
          <w:sz w:val="30"/>
          <w:szCs w:val="30"/>
          <w:cs/>
        </w:rPr>
        <w:t>ด้านการฟอกเงิน</w:t>
      </w:r>
      <w:r w:rsidR="00584BF3" w:rsidRPr="003621BA">
        <w:rPr>
          <w:rFonts w:ascii="DilleniaUPC" w:hAnsi="DilleniaUPC" w:cs="DilleniaUPC"/>
          <w:sz w:val="30"/>
          <w:szCs w:val="30"/>
          <w:cs/>
        </w:rPr>
        <w:t>ต่ำ</w:t>
      </w:r>
    </w:p>
    <w:p w:rsidR="00584BF3" w:rsidRPr="003621BA" w:rsidRDefault="00584BF3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  <w:u w:val="single"/>
        </w:rPr>
      </w:pPr>
      <w:r w:rsidRPr="003621BA">
        <w:rPr>
          <w:rFonts w:ascii="DilleniaUPC" w:hAnsi="DilleniaUPC" w:cs="DilleniaUPC"/>
          <w:sz w:val="30"/>
          <w:szCs w:val="30"/>
          <w:cs/>
        </w:rPr>
        <w:t xml:space="preserve">3. </w:t>
      </w:r>
      <w:r w:rsidRPr="003621BA">
        <w:rPr>
          <w:rFonts w:ascii="DilleniaUPC" w:hAnsi="DilleniaUPC" w:cs="DilleniaUPC"/>
          <w:sz w:val="30"/>
          <w:szCs w:val="30"/>
          <w:u w:val="single"/>
          <w:cs/>
        </w:rPr>
        <w:t xml:space="preserve">วงเงินที่ไม่จำกัดหรือจำนวนครั้งในการใช้บริการ  </w:t>
      </w:r>
    </w:p>
    <w:p w:rsidR="006376AE" w:rsidRPr="003621BA" w:rsidRDefault="00584BF3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  <w:cs/>
        </w:rPr>
        <w:tab/>
        <w:t>บริษัทหลักทรัพย์ ต้องกำหนดวงเงินของลูกค้าในการใช้บริการทุกราย โดยพิจารณาประเมินจากข้อมูลทรัพย์สิน หรือฐานะการเงินของลูกค้</w:t>
      </w:r>
      <w:r w:rsidR="009D188A" w:rsidRPr="003621BA">
        <w:rPr>
          <w:rFonts w:ascii="DilleniaUPC" w:hAnsi="DilleniaUPC" w:cs="DilleniaUPC"/>
          <w:sz w:val="30"/>
          <w:szCs w:val="30"/>
          <w:cs/>
        </w:rPr>
        <w:t>า</w:t>
      </w:r>
      <w:r w:rsidRPr="003621BA">
        <w:rPr>
          <w:rFonts w:ascii="DilleniaUPC" w:hAnsi="DilleniaUPC" w:cs="DilleniaUPC"/>
          <w:sz w:val="30"/>
          <w:szCs w:val="30"/>
          <w:cs/>
        </w:rPr>
        <w:t>เป็นสำคัญ แต่ในส่วนของการให้บริการ ลูกค้าสามารถซื้อขายหมุนเวียนในวงเงินที่ได้รับโดยไม่จำกัดจำนวนครั้ง</w:t>
      </w:r>
      <w:r w:rsidR="009D188A" w:rsidRPr="003621BA">
        <w:rPr>
          <w:rFonts w:ascii="DilleniaUPC" w:hAnsi="DilleniaUPC" w:cs="DilleniaUPC"/>
          <w:sz w:val="30"/>
          <w:szCs w:val="30"/>
          <w:cs/>
        </w:rPr>
        <w:t xml:space="preserve"> เนื่องจากวงเงินถูกกำหนดไว้แล้วจึงไม่ก่อให้เกิดความเสี่ยงด้านการฟอกเงินที่เพิ่มมากขึ้น ถือเป็นความเสี่ยงปกติ</w:t>
      </w:r>
    </w:p>
    <w:p w:rsidR="00CA4660" w:rsidRPr="003621BA" w:rsidRDefault="009D188A" w:rsidP="00343C1A">
      <w:pPr>
        <w:spacing w:after="0" w:line="240" w:lineRule="auto"/>
        <w:ind w:firstLine="720"/>
        <w:jc w:val="thaiDistribute"/>
        <w:rPr>
          <w:rFonts w:ascii="DilleniaUPC" w:hAnsi="DilleniaUPC" w:cs="DilleniaUPC"/>
          <w:color w:val="000000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  <w:cs/>
        </w:rPr>
        <w:t>อย่างไรก็ดี หากลูกค้าขอ</w:t>
      </w:r>
      <w:r w:rsidR="006376AE" w:rsidRPr="003621BA">
        <w:rPr>
          <w:rFonts w:ascii="DilleniaUPC" w:hAnsi="DilleniaUPC" w:cs="DilleniaUPC"/>
          <w:sz w:val="30"/>
          <w:szCs w:val="30"/>
          <w:cs/>
        </w:rPr>
        <w:t>วงเงินเมื่อเริ่มเปิดบัญชีหรือขอ</w:t>
      </w:r>
      <w:r w:rsidRPr="003621BA">
        <w:rPr>
          <w:rFonts w:ascii="DilleniaUPC" w:hAnsi="DilleniaUPC" w:cs="DilleniaUPC"/>
          <w:sz w:val="30"/>
          <w:szCs w:val="30"/>
          <w:cs/>
        </w:rPr>
        <w:t>เพิ่มวงเงินซึ่งจำนวนเงินดังกล่าวไม่สัมพันธ์กับรายได้ ฐานะทางการเงิน หรือทรัพย์สินที่ลูกค้ามี และไม่อาจให้เหตุผลว่ามีแหล่งที่มาของรายได้จากที่ใด เช่น ถูกสลากกินแบ่ง ได้รับมรดก กรณีนี้จะมีความเสี่ยงด้านการฟอกเงินสูงขึ้น</w:t>
      </w:r>
    </w:p>
    <w:p w:rsidR="00F55F79" w:rsidRPr="003621BA" w:rsidRDefault="00584BF3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color w:val="000000"/>
          <w:sz w:val="30"/>
          <w:szCs w:val="30"/>
          <w:cs/>
        </w:rPr>
        <w:t xml:space="preserve">4. </w:t>
      </w:r>
      <w:r w:rsidRPr="003621BA">
        <w:rPr>
          <w:rFonts w:ascii="DilleniaUPC" w:hAnsi="DilleniaUPC" w:cs="DilleniaUPC"/>
          <w:sz w:val="30"/>
          <w:szCs w:val="30"/>
          <w:u w:val="single"/>
          <w:cs/>
        </w:rPr>
        <w:t>การใช้ข้ามแดน</w:t>
      </w:r>
      <w:r w:rsidR="00F55F79" w:rsidRPr="003621BA">
        <w:rPr>
          <w:rFonts w:ascii="DilleniaUPC" w:hAnsi="DilleniaUPC" w:cs="DilleniaUPC"/>
          <w:color w:val="000000"/>
          <w:sz w:val="30"/>
          <w:szCs w:val="30"/>
          <w:cs/>
        </w:rPr>
        <w:tab/>
      </w:r>
    </w:p>
    <w:p w:rsidR="00845977" w:rsidRPr="003621BA" w:rsidRDefault="00584BF3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  <w:cs/>
        </w:rPr>
        <w:tab/>
        <w:t>การให้บริการเป็นตัวแทนเพื่อซื้อขายหลักทรัพย์ในต่างประเทศนั้น ลูกค้าต้องทำการโอนและรับโอนเงินที่ซื้อขายผ่านบัญชีธนาคารเป็นสำคัญ</w:t>
      </w:r>
      <w:r w:rsidR="00845977" w:rsidRPr="003621BA">
        <w:rPr>
          <w:rFonts w:ascii="DilleniaUPC" w:hAnsi="DilleniaUPC" w:cs="DilleniaUPC"/>
          <w:sz w:val="30"/>
          <w:szCs w:val="30"/>
          <w:cs/>
        </w:rPr>
        <w:t xml:space="preserve">โดยต้องจัดให้มี </w:t>
      </w:r>
      <w:r w:rsidR="006376AE" w:rsidRPr="003621BA">
        <w:rPr>
          <w:rFonts w:ascii="DilleniaUPC" w:hAnsi="DilleniaUPC" w:cs="DilleniaUPC"/>
          <w:sz w:val="30"/>
          <w:szCs w:val="30"/>
        </w:rPr>
        <w:t xml:space="preserve">Custodian </w:t>
      </w:r>
      <w:r w:rsidR="00845977" w:rsidRPr="003621BA">
        <w:rPr>
          <w:rFonts w:ascii="DilleniaUPC" w:hAnsi="DilleniaUPC" w:cs="DilleniaUPC"/>
          <w:sz w:val="30"/>
          <w:szCs w:val="30"/>
          <w:cs/>
        </w:rPr>
        <w:t xml:space="preserve">หรือ </w:t>
      </w:r>
      <w:r w:rsidR="00845977" w:rsidRPr="003621BA">
        <w:rPr>
          <w:rFonts w:ascii="DilleniaUPC" w:hAnsi="DilleniaUPC" w:cs="DilleniaUPC"/>
          <w:sz w:val="30"/>
          <w:szCs w:val="30"/>
        </w:rPr>
        <w:t xml:space="preserve">Broker </w:t>
      </w:r>
      <w:r w:rsidR="00845977" w:rsidRPr="003621BA">
        <w:rPr>
          <w:rFonts w:ascii="DilleniaUPC" w:hAnsi="DilleniaUPC" w:cs="DilleniaUPC"/>
          <w:sz w:val="30"/>
          <w:szCs w:val="30"/>
          <w:cs/>
        </w:rPr>
        <w:t xml:space="preserve">ต่างประเทศ เป็นผู้ดูแลเก็บรักษาทรัพย์สินของลูกค้า และเมื่อต้องรับหรือชำระค่าหลักทรัพย์ ต้องดำเนินการผ่านบัญชีธนาคาร </w:t>
      </w:r>
      <w:r w:rsidRPr="003621BA">
        <w:rPr>
          <w:rFonts w:ascii="DilleniaUPC" w:hAnsi="DilleniaUPC" w:cs="DilleniaUPC"/>
          <w:sz w:val="30"/>
          <w:szCs w:val="30"/>
          <w:cs/>
        </w:rPr>
        <w:t>โดยไม่สามารถรับเป็นเงินสดโดยตรง</w:t>
      </w:r>
      <w:r w:rsidR="00845977" w:rsidRPr="003621BA">
        <w:rPr>
          <w:rFonts w:ascii="DilleniaUPC" w:hAnsi="DilleniaUPC" w:cs="DilleniaUPC"/>
          <w:sz w:val="30"/>
          <w:szCs w:val="30"/>
          <w:cs/>
        </w:rPr>
        <w:t xml:space="preserve"> จึงพิจารณาได้ว่ามีความเสี่ยง</w:t>
      </w:r>
      <w:r w:rsidR="009D188A" w:rsidRPr="003621BA">
        <w:rPr>
          <w:rFonts w:ascii="DilleniaUPC" w:hAnsi="DilleniaUPC" w:cs="DilleniaUPC"/>
          <w:sz w:val="30"/>
          <w:szCs w:val="30"/>
          <w:cs/>
        </w:rPr>
        <w:t>ด้านการฟอกเงิน</w:t>
      </w:r>
      <w:r w:rsidR="00845977" w:rsidRPr="003621BA">
        <w:rPr>
          <w:rFonts w:ascii="DilleniaUPC" w:hAnsi="DilleniaUPC" w:cs="DilleniaUPC"/>
          <w:sz w:val="30"/>
          <w:szCs w:val="30"/>
          <w:cs/>
        </w:rPr>
        <w:t>ต่ำ</w:t>
      </w:r>
    </w:p>
    <w:p w:rsidR="00555C99" w:rsidRPr="003621BA" w:rsidRDefault="00845977" w:rsidP="00343C1A">
      <w:pPr>
        <w:spacing w:after="0" w:line="240" w:lineRule="auto"/>
        <w:rPr>
          <w:rFonts w:ascii="DilleniaUPC" w:hAnsi="DilleniaUPC" w:cs="DilleniaUPC"/>
          <w:sz w:val="30"/>
          <w:szCs w:val="30"/>
          <w:u w:val="single"/>
        </w:rPr>
      </w:pPr>
      <w:r w:rsidRPr="003621BA">
        <w:rPr>
          <w:rFonts w:ascii="DilleniaUPC" w:hAnsi="DilleniaUPC" w:cs="DilleniaUPC"/>
          <w:sz w:val="30"/>
          <w:szCs w:val="30"/>
          <w:cs/>
        </w:rPr>
        <w:t xml:space="preserve">5. </w:t>
      </w:r>
      <w:r w:rsidRPr="003621BA">
        <w:rPr>
          <w:rFonts w:ascii="DilleniaUPC" w:hAnsi="DilleniaUPC" w:cs="DilleniaUPC"/>
          <w:sz w:val="30"/>
          <w:szCs w:val="30"/>
          <w:u w:val="single"/>
          <w:cs/>
        </w:rPr>
        <w:t>การก่อภาระหนี้</w:t>
      </w:r>
    </w:p>
    <w:p w:rsidR="0065683D" w:rsidRPr="003621BA" w:rsidRDefault="00555C99" w:rsidP="00343C1A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  <w:cs/>
        </w:rPr>
        <w:tab/>
        <w:t>ในธุรกิจหลักทรัพย์ ลูกค้ามีการขอ</w:t>
      </w:r>
      <w:r w:rsidR="009D188A" w:rsidRPr="003621BA">
        <w:rPr>
          <w:rFonts w:ascii="DilleniaUPC" w:hAnsi="DilleniaUPC" w:cs="DilleniaUPC"/>
          <w:sz w:val="30"/>
          <w:szCs w:val="30"/>
          <w:cs/>
        </w:rPr>
        <w:t>ใช้</w:t>
      </w:r>
      <w:r w:rsidRPr="003621BA">
        <w:rPr>
          <w:rFonts w:ascii="DilleniaUPC" w:hAnsi="DilleniaUPC" w:cs="DilleniaUPC"/>
          <w:sz w:val="30"/>
          <w:szCs w:val="30"/>
          <w:cs/>
        </w:rPr>
        <w:t xml:space="preserve">วงเงินสินเชื่อเพื่อซื้อหลักทรัพย์ ซึ่งเรียกว่าบัญชี </w:t>
      </w:r>
      <w:r w:rsidRPr="003621BA">
        <w:rPr>
          <w:rFonts w:ascii="DilleniaUPC" w:hAnsi="DilleniaUPC" w:cs="DilleniaUPC"/>
          <w:sz w:val="30"/>
          <w:szCs w:val="30"/>
        </w:rPr>
        <w:t xml:space="preserve">Credit Balance </w:t>
      </w:r>
      <w:r w:rsidRPr="003621BA">
        <w:rPr>
          <w:rFonts w:ascii="DilleniaUPC" w:hAnsi="DilleniaUPC" w:cs="DilleniaUPC"/>
          <w:sz w:val="30"/>
          <w:szCs w:val="30"/>
          <w:cs/>
        </w:rPr>
        <w:t>โดยลูกค้าต้องชำระดอกเบี้ยตามจำนวนวันที่กู้ยืม และมีการกำหนดวงเงินให้ลูกค้าแต่ละราย จึงนับเป็นประเภทบัญชีที่มีความเสี่ยง</w:t>
      </w:r>
      <w:r w:rsidR="009D188A" w:rsidRPr="003621BA">
        <w:rPr>
          <w:rFonts w:ascii="DilleniaUPC" w:hAnsi="DilleniaUPC" w:cs="DilleniaUPC"/>
          <w:sz w:val="30"/>
          <w:szCs w:val="30"/>
          <w:cs/>
        </w:rPr>
        <w:t>ด้านการฟอกเงิน</w:t>
      </w:r>
      <w:r w:rsidRPr="003621BA">
        <w:rPr>
          <w:rFonts w:ascii="DilleniaUPC" w:hAnsi="DilleniaUPC" w:cs="DilleniaUPC"/>
          <w:sz w:val="30"/>
          <w:szCs w:val="30"/>
          <w:cs/>
        </w:rPr>
        <w:t>ต่ำ</w:t>
      </w:r>
    </w:p>
    <w:p w:rsidR="00626B70" w:rsidRPr="003621BA" w:rsidRDefault="00343C1A" w:rsidP="008E704E">
      <w:pPr>
        <w:rPr>
          <w:rFonts w:ascii="DilleniaUPC" w:hAnsi="DilleniaUPC" w:cs="DilleniaUPC"/>
          <w:b/>
          <w:bCs/>
          <w:sz w:val="30"/>
          <w:szCs w:val="30"/>
          <w:u w:val="single"/>
        </w:rPr>
      </w:pPr>
      <w:r>
        <w:rPr>
          <w:rFonts w:ascii="DilleniaUPC" w:hAnsi="DilleniaUPC" w:cs="DilleniaUPC"/>
          <w:b/>
          <w:bCs/>
          <w:sz w:val="30"/>
          <w:szCs w:val="30"/>
          <w:u w:val="single"/>
          <w:cs/>
        </w:rPr>
        <w:br w:type="page"/>
      </w:r>
      <w:r w:rsidR="00626B70" w:rsidRPr="003621BA">
        <w:rPr>
          <w:rFonts w:ascii="DilleniaUPC" w:hAnsi="DilleniaUPC" w:cs="DilleniaUPC"/>
          <w:b/>
          <w:bCs/>
          <w:sz w:val="30"/>
          <w:szCs w:val="30"/>
          <w:u w:val="single"/>
          <w:cs/>
        </w:rPr>
        <w:lastRenderedPageBreak/>
        <w:t>สรุปความเสี่ยง</w:t>
      </w:r>
      <w:r w:rsidR="009D188A" w:rsidRPr="003621BA">
        <w:rPr>
          <w:rFonts w:ascii="DilleniaUPC" w:hAnsi="DilleniaUPC" w:cs="DilleniaUPC"/>
          <w:b/>
          <w:bCs/>
          <w:sz w:val="30"/>
          <w:szCs w:val="30"/>
          <w:u w:val="single"/>
          <w:cs/>
        </w:rPr>
        <w:t>ด้านการฟอกเงินโดยพิจารณาจาก</w:t>
      </w:r>
      <w:r w:rsidR="00626B70" w:rsidRPr="003621BA">
        <w:rPr>
          <w:rFonts w:ascii="DilleniaUPC" w:hAnsi="DilleniaUPC" w:cs="DilleniaUPC"/>
          <w:b/>
          <w:bCs/>
          <w:sz w:val="30"/>
          <w:szCs w:val="30"/>
          <w:u w:val="single"/>
          <w:cs/>
        </w:rPr>
        <w:t>บริการแต่ละประเภท</w:t>
      </w:r>
    </w:p>
    <w:tbl>
      <w:tblPr>
        <w:tblStyle w:val="TableGrid"/>
        <w:tblW w:w="9762" w:type="dxa"/>
        <w:jc w:val="center"/>
        <w:tblLook w:val="04A0" w:firstRow="1" w:lastRow="0" w:firstColumn="1" w:lastColumn="0" w:noHBand="0" w:noVBand="1"/>
      </w:tblPr>
      <w:tblGrid>
        <w:gridCol w:w="2448"/>
        <w:gridCol w:w="2430"/>
        <w:gridCol w:w="2070"/>
        <w:gridCol w:w="2814"/>
      </w:tblGrid>
      <w:tr w:rsidR="00BB2917" w:rsidRPr="003621BA" w:rsidTr="00A856DD">
        <w:trPr>
          <w:jc w:val="center"/>
        </w:trPr>
        <w:tc>
          <w:tcPr>
            <w:tcW w:w="2448" w:type="dxa"/>
          </w:tcPr>
          <w:p w:rsidR="00BB2917" w:rsidRPr="003621BA" w:rsidRDefault="00BB2917" w:rsidP="003621BA">
            <w:pPr>
              <w:jc w:val="center"/>
              <w:rPr>
                <w:rFonts w:ascii="DilleniaUPC" w:hAnsi="DilleniaUPC" w:cs="DilleniaUPC"/>
                <w:b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  <w:t>ประเภทบริการ</w:t>
            </w:r>
          </w:p>
        </w:tc>
        <w:tc>
          <w:tcPr>
            <w:tcW w:w="2430" w:type="dxa"/>
          </w:tcPr>
          <w:p w:rsidR="00BB2917" w:rsidRPr="003621BA" w:rsidRDefault="00BB2917" w:rsidP="003621BA">
            <w:pPr>
              <w:jc w:val="center"/>
              <w:rPr>
                <w:rFonts w:ascii="DilleniaUPC" w:hAnsi="DilleniaUPC" w:cs="DilleniaUPC"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Cs/>
                <w:sz w:val="30"/>
                <w:szCs w:val="30"/>
                <w:cs/>
              </w:rPr>
              <w:t>ความเสี่ยงสูง</w:t>
            </w:r>
          </w:p>
        </w:tc>
        <w:tc>
          <w:tcPr>
            <w:tcW w:w="2070" w:type="dxa"/>
          </w:tcPr>
          <w:p w:rsidR="00BB2917" w:rsidRPr="003621BA" w:rsidRDefault="00BB2917" w:rsidP="003621BA">
            <w:pPr>
              <w:jc w:val="center"/>
              <w:rPr>
                <w:rFonts w:ascii="DilleniaUPC" w:hAnsi="DilleniaUPC" w:cs="DilleniaUPC"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Cs/>
                <w:sz w:val="30"/>
                <w:szCs w:val="30"/>
                <w:cs/>
              </w:rPr>
              <w:t>ความเสี่ยงปานกลาง</w:t>
            </w:r>
          </w:p>
        </w:tc>
        <w:tc>
          <w:tcPr>
            <w:tcW w:w="2814" w:type="dxa"/>
          </w:tcPr>
          <w:p w:rsidR="00BB2917" w:rsidRPr="003621BA" w:rsidRDefault="00BB2917" w:rsidP="003621BA">
            <w:pPr>
              <w:jc w:val="center"/>
              <w:rPr>
                <w:rFonts w:ascii="DilleniaUPC" w:hAnsi="DilleniaUPC" w:cs="DilleniaUPC"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Cs/>
                <w:sz w:val="30"/>
                <w:szCs w:val="30"/>
                <w:cs/>
              </w:rPr>
              <w:t>ความเสี่ยงต่ำ</w:t>
            </w:r>
          </w:p>
        </w:tc>
      </w:tr>
      <w:tr w:rsidR="00BB2917" w:rsidRPr="003621BA" w:rsidTr="00A856DD">
        <w:trPr>
          <w:jc w:val="center"/>
        </w:trPr>
        <w:tc>
          <w:tcPr>
            <w:tcW w:w="2448" w:type="dxa"/>
          </w:tcPr>
          <w:p w:rsidR="00BB2917" w:rsidRPr="003621BA" w:rsidRDefault="00BB2917" w:rsidP="008D525A">
            <w:pPr>
              <w:spacing w:line="320" w:lineRule="exact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Brokering</w:t>
            </w:r>
          </w:p>
        </w:tc>
        <w:tc>
          <w:tcPr>
            <w:tcW w:w="2430" w:type="dxa"/>
          </w:tcPr>
          <w:p w:rsidR="00BB2917" w:rsidRPr="003621BA" w:rsidRDefault="00BB2917" w:rsidP="008D525A">
            <w:pPr>
              <w:spacing w:line="320" w:lineRule="exact"/>
              <w:jc w:val="center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2070" w:type="dxa"/>
          </w:tcPr>
          <w:p w:rsidR="00BB2917" w:rsidRPr="003621BA" w:rsidRDefault="006376AE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การซื้อขายบัญชีเงินสดและ </w:t>
            </w:r>
            <w:r w:rsidRPr="003621BA">
              <w:rPr>
                <w:rFonts w:ascii="DilleniaUPC" w:hAnsi="DilleniaUPC" w:cs="DilleniaUPC"/>
                <w:b/>
                <w:sz w:val="30"/>
                <w:szCs w:val="30"/>
              </w:rPr>
              <w:t>Cash Balance</w:t>
            </w:r>
          </w:p>
        </w:tc>
        <w:tc>
          <w:tcPr>
            <w:tcW w:w="2814" w:type="dxa"/>
          </w:tcPr>
          <w:p w:rsidR="00BB2917" w:rsidRPr="003621BA" w:rsidRDefault="00BB2917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เฉพาะบัญชี </w:t>
            </w:r>
            <w:r w:rsidRPr="003621BA">
              <w:rPr>
                <w:rFonts w:ascii="DilleniaUPC" w:hAnsi="DilleniaUPC" w:cs="DilleniaUPC"/>
                <w:b/>
                <w:sz w:val="30"/>
                <w:szCs w:val="30"/>
              </w:rPr>
              <w:t xml:space="preserve">Credit Balance </w:t>
            </w: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ซึ่งมีรูปแบบเป็นการให้สินเชื่อ จึงไม่เหมาะกับการฟอกเงิน</w:t>
            </w:r>
          </w:p>
        </w:tc>
      </w:tr>
      <w:tr w:rsidR="00BB2917" w:rsidRPr="003621BA" w:rsidTr="00A856DD">
        <w:trPr>
          <w:jc w:val="center"/>
        </w:trPr>
        <w:tc>
          <w:tcPr>
            <w:tcW w:w="2448" w:type="dxa"/>
          </w:tcPr>
          <w:p w:rsidR="00BB2917" w:rsidRPr="003621BA" w:rsidRDefault="00BB2917" w:rsidP="008D525A">
            <w:pPr>
              <w:spacing w:line="320" w:lineRule="exact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Dealing</w:t>
            </w:r>
          </w:p>
        </w:tc>
        <w:tc>
          <w:tcPr>
            <w:tcW w:w="4500" w:type="dxa"/>
            <w:gridSpan w:val="2"/>
          </w:tcPr>
          <w:p w:rsidR="00BB2917" w:rsidRPr="003621BA" w:rsidRDefault="00BB2917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สำหรับผลิตภัณฑ์ที่มีความซับซ้อน ต้องพิจารณาแต่ละผลิตภัณฑ์ </w:t>
            </w:r>
          </w:p>
        </w:tc>
        <w:tc>
          <w:tcPr>
            <w:tcW w:w="2814" w:type="dxa"/>
          </w:tcPr>
          <w:p w:rsidR="00BB2917" w:rsidRPr="003621BA" w:rsidRDefault="00BB2917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การซื้อขายหุ้นกู้ พันธบัตร หรือตราสารหนี้ทั่วไป มีการเปลี่ยนมือได้ยาก เพราะอยู่นอกศูนย์ซื้อขาย</w:t>
            </w:r>
          </w:p>
        </w:tc>
      </w:tr>
      <w:tr w:rsidR="00BB2917" w:rsidRPr="003621BA" w:rsidTr="00A856DD">
        <w:trPr>
          <w:jc w:val="center"/>
        </w:trPr>
        <w:tc>
          <w:tcPr>
            <w:tcW w:w="2448" w:type="dxa"/>
          </w:tcPr>
          <w:p w:rsidR="00BB2917" w:rsidRPr="003621BA" w:rsidRDefault="00BB2917" w:rsidP="008D525A">
            <w:pPr>
              <w:spacing w:line="320" w:lineRule="exact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Underwriting</w:t>
            </w:r>
          </w:p>
        </w:tc>
        <w:tc>
          <w:tcPr>
            <w:tcW w:w="2430" w:type="dxa"/>
          </w:tcPr>
          <w:p w:rsidR="00BB2917" w:rsidRPr="003621BA" w:rsidRDefault="00BB2917" w:rsidP="008D525A">
            <w:pPr>
              <w:spacing w:line="320" w:lineRule="exact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2070" w:type="dxa"/>
          </w:tcPr>
          <w:p w:rsidR="00BB2917" w:rsidRPr="003621BA" w:rsidRDefault="00BB2917" w:rsidP="008D525A">
            <w:pPr>
              <w:spacing w:line="320" w:lineRule="exact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2814" w:type="dxa"/>
          </w:tcPr>
          <w:p w:rsidR="00BB2917" w:rsidRPr="003621BA" w:rsidRDefault="00BB2917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ผู้ทำธุรกรรมมีโอกาสดำเนินความสัมพันธ์ทางธุรกิจกับลูกค้าในเวลาอันสั้น </w:t>
            </w:r>
            <w:r w:rsidR="006376AE"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การฟอกเงินทำได้ยาก</w:t>
            </w:r>
            <w:r w:rsidR="002163DD"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เพราะการจัดสรรต้องเป็นไปตามเกณฑ์ </w:t>
            </w:r>
            <w:r w:rsidR="002163DD" w:rsidRPr="003621BA">
              <w:rPr>
                <w:rFonts w:ascii="DilleniaUPC" w:hAnsi="DilleniaUPC" w:cs="DilleniaUPC"/>
                <w:b/>
                <w:sz w:val="30"/>
                <w:szCs w:val="30"/>
              </w:rPr>
              <w:t>Fair allocation / Small lot first</w:t>
            </w:r>
            <w:r w:rsidR="002163DD"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 เป็นต้น</w:t>
            </w:r>
          </w:p>
        </w:tc>
      </w:tr>
      <w:tr w:rsidR="00BB2917" w:rsidRPr="003621BA" w:rsidTr="00A856DD">
        <w:trPr>
          <w:jc w:val="center"/>
        </w:trPr>
        <w:tc>
          <w:tcPr>
            <w:tcW w:w="2448" w:type="dxa"/>
          </w:tcPr>
          <w:p w:rsidR="00BB2917" w:rsidRPr="003621BA" w:rsidRDefault="00BB2917" w:rsidP="008D525A">
            <w:pPr>
              <w:spacing w:line="320" w:lineRule="exact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Private Fund Management</w:t>
            </w:r>
          </w:p>
        </w:tc>
        <w:tc>
          <w:tcPr>
            <w:tcW w:w="2430" w:type="dxa"/>
          </w:tcPr>
          <w:p w:rsidR="00BB2917" w:rsidRPr="003621BA" w:rsidRDefault="00BB2917" w:rsidP="008D525A">
            <w:pPr>
              <w:spacing w:line="320" w:lineRule="exact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2070" w:type="dxa"/>
          </w:tcPr>
          <w:p w:rsidR="00BB2917" w:rsidRPr="003621BA" w:rsidRDefault="00BB2917" w:rsidP="008D525A">
            <w:pPr>
              <w:spacing w:line="320" w:lineRule="exact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2814" w:type="dxa"/>
          </w:tcPr>
          <w:p w:rsidR="00BB2917" w:rsidRPr="003621BA" w:rsidRDefault="00BB2917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การรู้จักลูกค้าต้องมีการพบหน้า และการซื้อขายอยู่ในการตัดสินใจของ </w:t>
            </w:r>
            <w:r w:rsidRPr="003621BA">
              <w:rPr>
                <w:rFonts w:ascii="DilleniaUPC" w:hAnsi="DilleniaUPC" w:cs="DilleniaUPC"/>
                <w:b/>
                <w:sz w:val="30"/>
                <w:szCs w:val="30"/>
              </w:rPr>
              <w:t xml:space="preserve">Fund Manager </w:t>
            </w:r>
          </w:p>
        </w:tc>
      </w:tr>
      <w:tr w:rsidR="009D188A" w:rsidRPr="003621BA" w:rsidTr="00A856DD">
        <w:trPr>
          <w:jc w:val="center"/>
        </w:trPr>
        <w:tc>
          <w:tcPr>
            <w:tcW w:w="2448" w:type="dxa"/>
            <w:vMerge w:val="restart"/>
          </w:tcPr>
          <w:p w:rsidR="009D188A" w:rsidRPr="003621BA" w:rsidRDefault="009D188A" w:rsidP="008D525A">
            <w:pPr>
              <w:spacing w:line="320" w:lineRule="exact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Financial Advisor</w:t>
            </w:r>
          </w:p>
        </w:tc>
        <w:tc>
          <w:tcPr>
            <w:tcW w:w="2430" w:type="dxa"/>
          </w:tcPr>
          <w:p w:rsidR="009D188A" w:rsidRPr="003621BA" w:rsidRDefault="009D188A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ประเภทการระดมทุนที่มีมูลค่าสูงมาก (อาจเป็นช่องทางการฟอกเงินจากเงินทุนที่หาที่มาไม่ได้)</w:t>
            </w:r>
          </w:p>
        </w:tc>
        <w:tc>
          <w:tcPr>
            <w:tcW w:w="2070" w:type="dxa"/>
          </w:tcPr>
          <w:p w:rsidR="00CA4660" w:rsidRPr="003621BA" w:rsidRDefault="009D188A" w:rsidP="008D525A">
            <w:pPr>
              <w:spacing w:line="320" w:lineRule="exact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2814" w:type="dxa"/>
          </w:tcPr>
          <w:p w:rsidR="009D188A" w:rsidRPr="003621BA" w:rsidRDefault="009D188A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การปรับโครงสร้างหนี้ / โครงสร้างองค์กร (มีความเกี่ยวข้องกับการเคลื่อนย้ายเงินทุนน้อย)</w:t>
            </w:r>
          </w:p>
        </w:tc>
      </w:tr>
      <w:tr w:rsidR="009D188A" w:rsidRPr="003621BA" w:rsidTr="00A856DD">
        <w:trPr>
          <w:jc w:val="center"/>
        </w:trPr>
        <w:tc>
          <w:tcPr>
            <w:tcW w:w="2448" w:type="dxa"/>
            <w:vMerge/>
          </w:tcPr>
          <w:p w:rsidR="009D188A" w:rsidRPr="003621BA" w:rsidRDefault="009D188A" w:rsidP="008D525A">
            <w:pPr>
              <w:spacing w:line="320" w:lineRule="exact"/>
              <w:rPr>
                <w:rFonts w:ascii="DilleniaUPC" w:hAnsi="DilleniaUPC" w:cs="DilleniaUPC"/>
                <w:sz w:val="30"/>
                <w:szCs w:val="30"/>
              </w:rPr>
            </w:pPr>
          </w:p>
        </w:tc>
        <w:tc>
          <w:tcPr>
            <w:tcW w:w="2430" w:type="dxa"/>
          </w:tcPr>
          <w:p w:rsidR="009D188A" w:rsidRPr="003621BA" w:rsidRDefault="009D188A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ประเภทการให้คำปรึกษาทางการเงินแก่โครงการขนาดใหญ่ (อาจเกี่ยวข้องกับการเปลี่ยนสภาพเงินทุนที่หาที่มาไม่ได้)</w:t>
            </w:r>
          </w:p>
        </w:tc>
        <w:tc>
          <w:tcPr>
            <w:tcW w:w="2070" w:type="dxa"/>
          </w:tcPr>
          <w:p w:rsidR="00CA4660" w:rsidRPr="003621BA" w:rsidRDefault="009D188A" w:rsidP="008D525A">
            <w:pPr>
              <w:spacing w:line="320" w:lineRule="exact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2814" w:type="dxa"/>
          </w:tcPr>
          <w:p w:rsidR="009D188A" w:rsidRPr="003621BA" w:rsidRDefault="009D188A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การประเมินมูลค่ากิจการ/การควบรวมกิจการ (ไม่เกี่ยวข้องกับการเคลื่อนย้ายเงินทุน)</w:t>
            </w:r>
          </w:p>
        </w:tc>
      </w:tr>
      <w:tr w:rsidR="005B52E1" w:rsidRPr="003621BA" w:rsidTr="00A856DD">
        <w:trPr>
          <w:jc w:val="center"/>
        </w:trPr>
        <w:tc>
          <w:tcPr>
            <w:tcW w:w="2448" w:type="dxa"/>
          </w:tcPr>
          <w:p w:rsidR="005B52E1" w:rsidRPr="003621BA" w:rsidRDefault="005B52E1" w:rsidP="008D525A">
            <w:pPr>
              <w:spacing w:line="320" w:lineRule="exact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Selling Agent(Omnibus account)</w:t>
            </w:r>
          </w:p>
        </w:tc>
        <w:tc>
          <w:tcPr>
            <w:tcW w:w="7314" w:type="dxa"/>
            <w:gridSpan w:val="3"/>
          </w:tcPr>
          <w:p w:rsidR="005B52E1" w:rsidRPr="003621BA" w:rsidRDefault="005B52E1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ประเมินความเสี่ยงตามแนวทางของบริษัทจัดการกองทุน</w:t>
            </w:r>
          </w:p>
        </w:tc>
      </w:tr>
      <w:tr w:rsidR="00BB2917" w:rsidRPr="003621BA" w:rsidTr="00A856DD">
        <w:trPr>
          <w:jc w:val="center"/>
        </w:trPr>
        <w:tc>
          <w:tcPr>
            <w:tcW w:w="2448" w:type="dxa"/>
          </w:tcPr>
          <w:p w:rsidR="00BB2917" w:rsidRPr="003621BA" w:rsidRDefault="00BB2917" w:rsidP="008D525A">
            <w:pPr>
              <w:spacing w:line="320" w:lineRule="exact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Selling Agent</w:t>
            </w:r>
          </w:p>
        </w:tc>
        <w:tc>
          <w:tcPr>
            <w:tcW w:w="2430" w:type="dxa"/>
          </w:tcPr>
          <w:p w:rsidR="00BB2917" w:rsidRPr="003621BA" w:rsidRDefault="005B52E1" w:rsidP="008D525A">
            <w:pPr>
              <w:spacing w:line="320" w:lineRule="exact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2070" w:type="dxa"/>
          </w:tcPr>
          <w:p w:rsidR="00BB2917" w:rsidRPr="003621BA" w:rsidRDefault="005B52E1" w:rsidP="008D525A">
            <w:pPr>
              <w:spacing w:line="320" w:lineRule="exact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2814" w:type="dxa"/>
          </w:tcPr>
          <w:p w:rsidR="00BB2917" w:rsidRPr="003621BA" w:rsidRDefault="005B52E1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ไม่เกี่ยวข้องกับเงิน ซึ่งเข้าบัญชี </w:t>
            </w:r>
            <w:proofErr w:type="spellStart"/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บลจ</w:t>
            </w:r>
            <w:proofErr w:type="spellEnd"/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. โดยตรง</w:t>
            </w:r>
          </w:p>
        </w:tc>
      </w:tr>
      <w:tr w:rsidR="009D188A" w:rsidRPr="003621BA" w:rsidTr="00A856DD">
        <w:trPr>
          <w:jc w:val="center"/>
        </w:trPr>
        <w:tc>
          <w:tcPr>
            <w:tcW w:w="2448" w:type="dxa"/>
          </w:tcPr>
          <w:p w:rsidR="009D188A" w:rsidRPr="003621BA" w:rsidRDefault="00883A3B" w:rsidP="008D525A">
            <w:pPr>
              <w:spacing w:line="320" w:lineRule="exact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Securities Borrowing and Lending</w:t>
            </w:r>
          </w:p>
        </w:tc>
        <w:tc>
          <w:tcPr>
            <w:tcW w:w="2430" w:type="dxa"/>
          </w:tcPr>
          <w:p w:rsidR="009D188A" w:rsidRPr="003621BA" w:rsidRDefault="002163DD" w:rsidP="008D525A">
            <w:pPr>
              <w:spacing w:line="320" w:lineRule="exact"/>
              <w:jc w:val="center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2070" w:type="dxa"/>
          </w:tcPr>
          <w:p w:rsidR="009D188A" w:rsidRPr="003621BA" w:rsidRDefault="002163DD" w:rsidP="008D525A">
            <w:pPr>
              <w:spacing w:line="320" w:lineRule="exact"/>
              <w:jc w:val="center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2814" w:type="dxa"/>
          </w:tcPr>
          <w:p w:rsidR="009D188A" w:rsidRPr="003621BA" w:rsidRDefault="002163DD" w:rsidP="008D525A">
            <w:pPr>
              <w:spacing w:line="320" w:lineRule="exact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การยืมโดยมีหลักประกันมาวาง เช่น หลักทรัพย์ ตราสารหนี้ หรือทรัพย์สินอื่น</w:t>
            </w:r>
          </w:p>
        </w:tc>
      </w:tr>
    </w:tbl>
    <w:p w:rsidR="00A21420" w:rsidRDefault="00343C1A" w:rsidP="000D3F02">
      <w:pPr>
        <w:tabs>
          <w:tab w:val="left" w:pos="2673"/>
        </w:tabs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  <w:u w:val="single"/>
          <w:cs/>
        </w:rPr>
        <w:t>หมายเหตุ</w:t>
      </w:r>
      <w:r w:rsidRPr="003621BA">
        <w:rPr>
          <w:rFonts w:ascii="DilleniaUPC" w:hAnsi="DilleniaUPC" w:cs="DilleniaUPC"/>
          <w:sz w:val="30"/>
          <w:szCs w:val="30"/>
        </w:rPr>
        <w:t xml:space="preserve">: </w:t>
      </w:r>
      <w:r w:rsidR="00B465BB">
        <w:rPr>
          <w:rFonts w:ascii="DilleniaUPC" w:hAnsi="DilleniaUPC" w:cs="DilleniaUPC"/>
          <w:sz w:val="30"/>
          <w:szCs w:val="30"/>
          <w:cs/>
        </w:rPr>
        <w:t>หาก</w:t>
      </w:r>
      <w:r w:rsidR="00B465BB">
        <w:rPr>
          <w:rFonts w:ascii="DilleniaUPC" w:hAnsi="DilleniaUPC" w:cs="DilleniaUPC" w:hint="cs"/>
          <w:sz w:val="30"/>
          <w:szCs w:val="30"/>
          <w:cs/>
        </w:rPr>
        <w:t>บริษัท</w:t>
      </w:r>
      <w:r w:rsidR="002A3B14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7857DB">
        <w:rPr>
          <w:rFonts w:ascii="DilleniaUPC" w:hAnsi="DilleniaUPC" w:cs="DilleniaUPC"/>
          <w:sz w:val="30"/>
          <w:szCs w:val="30"/>
          <w:cs/>
        </w:rPr>
        <w:t>ใดมีการประกอบธุรกิจอื่นที่อาจเป็นช่องทางที่ลูกค้าสามารถใช้</w:t>
      </w:r>
      <w:r w:rsidR="00B465BB">
        <w:rPr>
          <w:rFonts w:ascii="DilleniaUPC" w:hAnsi="DilleniaUPC" w:cs="DilleniaUPC" w:hint="cs"/>
          <w:sz w:val="30"/>
          <w:szCs w:val="30"/>
          <w:cs/>
        </w:rPr>
        <w:t>บริษัท</w:t>
      </w:r>
      <w:r w:rsidRPr="007857DB">
        <w:rPr>
          <w:rFonts w:ascii="DilleniaUPC" w:hAnsi="DilleniaUPC" w:cs="DilleniaUPC"/>
          <w:sz w:val="30"/>
          <w:szCs w:val="30"/>
          <w:cs/>
        </w:rPr>
        <w:t xml:space="preserve">เป็นช่องทางในการฟอกเงิน </w:t>
      </w:r>
      <w:r w:rsidR="00B465BB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7857DB">
        <w:rPr>
          <w:rFonts w:ascii="DilleniaUPC" w:hAnsi="DilleniaUPC" w:cs="DilleniaUPC"/>
          <w:sz w:val="30"/>
          <w:szCs w:val="30"/>
          <w:cs/>
        </w:rPr>
        <w:t>ควรมีการพิจารณา</w:t>
      </w:r>
      <w:r w:rsidR="002A3B14">
        <w:rPr>
          <w:rFonts w:ascii="DilleniaUPC" w:hAnsi="DilleniaUPC" w:cs="DilleniaUPC" w:hint="cs"/>
          <w:sz w:val="30"/>
          <w:szCs w:val="30"/>
          <w:cs/>
        </w:rPr>
        <w:t>ดำเนินการจัดทำ</w:t>
      </w:r>
      <w:r w:rsidRPr="007857DB">
        <w:rPr>
          <w:rFonts w:ascii="DilleniaUPC" w:hAnsi="DilleniaUPC" w:cs="DilleniaUPC"/>
          <w:sz w:val="30"/>
          <w:szCs w:val="30"/>
          <w:cs/>
        </w:rPr>
        <w:t>ความเสี่ยงใ</w:t>
      </w:r>
      <w:r w:rsidR="002A3B14">
        <w:rPr>
          <w:rFonts w:ascii="DilleniaUPC" w:hAnsi="DilleniaUPC" w:cs="DilleniaUPC"/>
          <w:sz w:val="30"/>
          <w:szCs w:val="30"/>
          <w:cs/>
        </w:rPr>
        <w:t>นส่วนดังกล่าว</w:t>
      </w:r>
      <w:r w:rsidR="002A3B14">
        <w:rPr>
          <w:rFonts w:ascii="DilleniaUPC" w:hAnsi="DilleniaUPC" w:cs="DilleniaUPC" w:hint="cs"/>
          <w:sz w:val="30"/>
          <w:szCs w:val="30"/>
          <w:cs/>
        </w:rPr>
        <w:t xml:space="preserve">ตามความเหมาะสมของแต่ละบริษัท </w:t>
      </w:r>
      <w:r w:rsidRPr="007857DB">
        <w:rPr>
          <w:rFonts w:ascii="DilleniaUPC" w:hAnsi="DilleniaUPC" w:cs="DilleniaUPC"/>
          <w:sz w:val="30"/>
          <w:szCs w:val="30"/>
          <w:cs/>
        </w:rPr>
        <w:t>เนื่องจากการให้บริการและร</w:t>
      </w:r>
      <w:r w:rsidR="002A3B14">
        <w:rPr>
          <w:rFonts w:ascii="DilleniaUPC" w:hAnsi="DilleniaUPC" w:cs="DilleniaUPC"/>
          <w:sz w:val="30"/>
          <w:szCs w:val="30"/>
          <w:cs/>
        </w:rPr>
        <w:t>ูปแบบของธุรกิจอื่นที่แตกต่างกัน</w:t>
      </w:r>
    </w:p>
    <w:p w:rsidR="00B465BB" w:rsidRDefault="00B465BB" w:rsidP="000D3F02">
      <w:pPr>
        <w:tabs>
          <w:tab w:val="left" w:pos="2673"/>
        </w:tabs>
        <w:spacing w:after="0" w:line="240" w:lineRule="auto"/>
        <w:jc w:val="thaiDistribute"/>
        <w:rPr>
          <w:rFonts w:ascii="DilleniaUPC" w:hAnsi="DilleniaUPC" w:cs="DilleniaUPC"/>
          <w:bCs/>
          <w:sz w:val="30"/>
          <w:szCs w:val="30"/>
          <w:u w:val="single"/>
        </w:rPr>
      </w:pPr>
    </w:p>
    <w:p w:rsidR="00A36891" w:rsidRDefault="00A36891" w:rsidP="00A21420">
      <w:pPr>
        <w:tabs>
          <w:tab w:val="left" w:pos="2673"/>
        </w:tabs>
        <w:spacing w:after="0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A36891" w:rsidRDefault="00A36891" w:rsidP="00A21420">
      <w:pPr>
        <w:tabs>
          <w:tab w:val="left" w:pos="2673"/>
        </w:tabs>
        <w:spacing w:after="0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A36891" w:rsidRDefault="00A36891" w:rsidP="00A21420">
      <w:pPr>
        <w:tabs>
          <w:tab w:val="left" w:pos="2673"/>
        </w:tabs>
        <w:spacing w:after="0"/>
        <w:jc w:val="center"/>
        <w:rPr>
          <w:rFonts w:ascii="DilleniaUPC" w:hAnsi="DilleniaUPC" w:cs="DilleniaUPC"/>
          <w:bCs/>
          <w:sz w:val="30"/>
          <w:szCs w:val="30"/>
          <w:u w:val="single"/>
        </w:rPr>
      </w:pPr>
    </w:p>
    <w:p w:rsidR="00555C99" w:rsidRDefault="00555C99" w:rsidP="008E704E">
      <w:pPr>
        <w:tabs>
          <w:tab w:val="left" w:pos="2673"/>
        </w:tabs>
        <w:spacing w:after="0"/>
        <w:rPr>
          <w:rFonts w:ascii="DilleniaUPC" w:hAnsi="DilleniaUPC" w:cs="DilleniaUPC"/>
          <w:bCs/>
          <w:sz w:val="30"/>
          <w:szCs w:val="30"/>
          <w:u w:val="single"/>
        </w:rPr>
      </w:pPr>
      <w:r w:rsidRPr="003621BA">
        <w:rPr>
          <w:rFonts w:ascii="DilleniaUPC" w:hAnsi="DilleniaUPC" w:cs="DilleniaUPC"/>
          <w:bCs/>
          <w:sz w:val="30"/>
          <w:szCs w:val="30"/>
          <w:u w:val="single"/>
          <w:cs/>
        </w:rPr>
        <w:lastRenderedPageBreak/>
        <w:t>การประเมินความเสี่ยง</w:t>
      </w:r>
      <w:r w:rsidR="00883A3B" w:rsidRPr="003621BA">
        <w:rPr>
          <w:rFonts w:ascii="DilleniaUPC" w:hAnsi="DilleniaUPC" w:cs="DilleniaUPC"/>
          <w:bCs/>
          <w:sz w:val="30"/>
          <w:szCs w:val="30"/>
          <w:u w:val="single"/>
          <w:cs/>
        </w:rPr>
        <w:t>ด้านการฟอกเงินโดยพิจารณาจาก</w:t>
      </w:r>
      <w:r w:rsidRPr="003621BA">
        <w:rPr>
          <w:rFonts w:ascii="DilleniaUPC" w:hAnsi="DilleniaUPC" w:cs="DilleniaUPC"/>
          <w:bCs/>
          <w:sz w:val="30"/>
          <w:szCs w:val="30"/>
          <w:u w:val="single"/>
          <w:cs/>
        </w:rPr>
        <w:t>ช่องทางการให้บริการ</w:t>
      </w:r>
    </w:p>
    <w:p w:rsidR="003621BA" w:rsidRPr="0065683D" w:rsidRDefault="003621BA" w:rsidP="003621BA">
      <w:pPr>
        <w:spacing w:after="0"/>
        <w:jc w:val="center"/>
        <w:rPr>
          <w:rFonts w:ascii="DilleniaUPC" w:hAnsi="DilleniaUPC" w:cs="DilleniaUPC"/>
          <w:bCs/>
          <w:sz w:val="20"/>
          <w:szCs w:val="20"/>
          <w:u w:val="single"/>
        </w:rPr>
      </w:pPr>
    </w:p>
    <w:p w:rsidR="00555C99" w:rsidRPr="003621BA" w:rsidRDefault="00555C99" w:rsidP="003621BA">
      <w:pPr>
        <w:spacing w:after="0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  <w:cs/>
        </w:rPr>
        <w:t>สำหรับแต่ละธุรกรรมที่ให้บริการข้างต้น สามารถแสดงช่องทางการให้บริการได้ดังนี้</w:t>
      </w: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1998"/>
        <w:gridCol w:w="1710"/>
        <w:gridCol w:w="1769"/>
        <w:gridCol w:w="1607"/>
        <w:gridCol w:w="1440"/>
        <w:gridCol w:w="1484"/>
      </w:tblGrid>
      <w:tr w:rsidR="001F3774" w:rsidRPr="003621BA" w:rsidTr="00A856DD">
        <w:trPr>
          <w:jc w:val="center"/>
        </w:trPr>
        <w:tc>
          <w:tcPr>
            <w:tcW w:w="1998" w:type="dxa"/>
            <w:vMerge w:val="restart"/>
            <w:vAlign w:val="center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b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  <w:t>ประเภทบริการ</w:t>
            </w:r>
          </w:p>
        </w:tc>
        <w:tc>
          <w:tcPr>
            <w:tcW w:w="1710" w:type="dxa"/>
            <w:vMerge w:val="restart"/>
            <w:vAlign w:val="center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b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  <w:t>ช่องทางการสร้างความสัมพันธ์</w:t>
            </w:r>
          </w:p>
        </w:tc>
        <w:tc>
          <w:tcPr>
            <w:tcW w:w="4816" w:type="dxa"/>
            <w:gridSpan w:val="3"/>
            <w:vAlign w:val="center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b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  <w:t>ช่องทางการให้บริการ</w:t>
            </w:r>
          </w:p>
        </w:tc>
        <w:tc>
          <w:tcPr>
            <w:tcW w:w="1484" w:type="dxa"/>
            <w:vMerge w:val="restart"/>
            <w:vAlign w:val="center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  <w:t>ความเสี่ยงต่อการฟอกเงิน</w:t>
            </w:r>
          </w:p>
        </w:tc>
      </w:tr>
      <w:tr w:rsidR="001F3774" w:rsidRPr="003621BA" w:rsidTr="00A856DD">
        <w:trPr>
          <w:jc w:val="center"/>
        </w:trPr>
        <w:tc>
          <w:tcPr>
            <w:tcW w:w="1998" w:type="dxa"/>
            <w:vMerge/>
          </w:tcPr>
          <w:p w:rsidR="001F3774" w:rsidRPr="003621BA" w:rsidRDefault="001F3774" w:rsidP="003621BA">
            <w:pPr>
              <w:rPr>
                <w:rFonts w:ascii="DilleniaUPC" w:hAnsi="DilleniaUPC" w:cs="DilleniaUPC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1F3774" w:rsidRPr="003621BA" w:rsidRDefault="001F3774" w:rsidP="003621BA">
            <w:pPr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69" w:type="dxa"/>
            <w:vAlign w:val="center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  <w:t>พบหน้ากับเจ้าหน้าที่</w:t>
            </w:r>
          </w:p>
        </w:tc>
        <w:tc>
          <w:tcPr>
            <w:tcW w:w="1607" w:type="dxa"/>
            <w:vAlign w:val="center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b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  <w:t>ส่งคำสั่งผ่านระบบอินเทอร์เน็ต</w:t>
            </w:r>
          </w:p>
        </w:tc>
        <w:tc>
          <w:tcPr>
            <w:tcW w:w="1440" w:type="dxa"/>
            <w:vAlign w:val="center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b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  <w:t>ส่งคำสั่งผ่านโทรศัพท์</w:t>
            </w:r>
            <w:r w:rsidR="00883A3B" w:rsidRPr="003621BA"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  <w:t xml:space="preserve"> โทรสาร อีเมล</w:t>
            </w:r>
            <w:r w:rsidR="00DD4933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</w:rPr>
              <w:t>์</w:t>
            </w:r>
            <w:r w:rsidR="00010008" w:rsidRPr="003621BA">
              <w:rPr>
                <w:rFonts w:ascii="DilleniaUPC" w:hAnsi="DilleniaUPC" w:cs="DilleniaUPC"/>
                <w:b/>
                <w:bCs/>
                <w:sz w:val="30"/>
                <w:szCs w:val="30"/>
              </w:rPr>
              <w:t>Bloomberg</w:t>
            </w:r>
          </w:p>
        </w:tc>
        <w:tc>
          <w:tcPr>
            <w:tcW w:w="1484" w:type="dxa"/>
            <w:vMerge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b/>
                <w:bCs/>
                <w:sz w:val="30"/>
                <w:szCs w:val="30"/>
                <w:cs/>
              </w:rPr>
            </w:pPr>
          </w:p>
        </w:tc>
      </w:tr>
      <w:tr w:rsidR="001F3774" w:rsidRPr="003621BA" w:rsidTr="00A856DD">
        <w:trPr>
          <w:jc w:val="center"/>
        </w:trPr>
        <w:tc>
          <w:tcPr>
            <w:tcW w:w="1998" w:type="dxa"/>
          </w:tcPr>
          <w:p w:rsidR="001F3774" w:rsidRPr="003621BA" w:rsidRDefault="001F3774" w:rsidP="003621BA">
            <w:pPr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Brokering</w:t>
            </w:r>
          </w:p>
        </w:tc>
        <w:tc>
          <w:tcPr>
            <w:tcW w:w="1710" w:type="dxa"/>
          </w:tcPr>
          <w:p w:rsidR="001F3774" w:rsidRPr="003621BA" w:rsidRDefault="001F3774" w:rsidP="003621BA">
            <w:pPr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พบหน้า</w:t>
            </w:r>
            <w:r w:rsidR="002163DD" w:rsidRPr="003621BA">
              <w:rPr>
                <w:rFonts w:ascii="DilleniaUPC" w:hAnsi="DilleniaUPC" w:cs="DilleniaUPC"/>
                <w:sz w:val="30"/>
                <w:szCs w:val="30"/>
                <w:cs/>
              </w:rPr>
              <w:t>/</w:t>
            </w: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 xml:space="preserve">ส่งเอกสารทางไปรษณีย์  </w:t>
            </w:r>
          </w:p>
        </w:tc>
        <w:tc>
          <w:tcPr>
            <w:tcW w:w="1769" w:type="dxa"/>
          </w:tcPr>
          <w:p w:rsidR="001F3774" w:rsidRPr="003621BA" w:rsidRDefault="005B52E1" w:rsidP="003621BA">
            <w:pPr>
              <w:jc w:val="center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Times New Roman" w:hAnsi="Times New Roman" w:cs="Times New Roman" w:hint="cs"/>
                <w:sz w:val="30"/>
                <w:szCs w:val="30"/>
                <w:cs/>
              </w:rPr>
              <w:t>√</w:t>
            </w:r>
          </w:p>
        </w:tc>
        <w:tc>
          <w:tcPr>
            <w:tcW w:w="1607" w:type="dxa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Times New Roman" w:hAnsi="Times New Roman" w:cs="Times New Roman" w:hint="cs"/>
                <w:sz w:val="30"/>
                <w:szCs w:val="30"/>
                <w:cs/>
              </w:rPr>
              <w:t>√</w:t>
            </w:r>
          </w:p>
        </w:tc>
        <w:tc>
          <w:tcPr>
            <w:tcW w:w="1440" w:type="dxa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Times New Roman" w:hAnsi="Times New Roman" w:cs="Times New Roman" w:hint="cs"/>
                <w:sz w:val="30"/>
                <w:szCs w:val="30"/>
                <w:cs/>
              </w:rPr>
              <w:t>√</w:t>
            </w:r>
          </w:p>
        </w:tc>
        <w:tc>
          <w:tcPr>
            <w:tcW w:w="1484" w:type="dxa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ปานกลาง</w:t>
            </w:r>
          </w:p>
        </w:tc>
      </w:tr>
      <w:tr w:rsidR="001F3774" w:rsidRPr="003621BA" w:rsidTr="00A856DD">
        <w:trPr>
          <w:jc w:val="center"/>
        </w:trPr>
        <w:tc>
          <w:tcPr>
            <w:tcW w:w="1998" w:type="dxa"/>
          </w:tcPr>
          <w:p w:rsidR="001F3774" w:rsidRPr="003621BA" w:rsidRDefault="001F3774" w:rsidP="003621BA">
            <w:pPr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Dealing</w:t>
            </w:r>
          </w:p>
        </w:tc>
        <w:tc>
          <w:tcPr>
            <w:tcW w:w="1710" w:type="dxa"/>
          </w:tcPr>
          <w:p w:rsidR="001F3774" w:rsidRPr="003621BA" w:rsidRDefault="001F3774" w:rsidP="003621BA">
            <w:pPr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 xml:space="preserve">พบหน้า  </w:t>
            </w:r>
          </w:p>
        </w:tc>
        <w:tc>
          <w:tcPr>
            <w:tcW w:w="1769" w:type="dxa"/>
          </w:tcPr>
          <w:p w:rsidR="001F3774" w:rsidRPr="003621BA" w:rsidRDefault="005B52E1" w:rsidP="003621BA">
            <w:pPr>
              <w:jc w:val="center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Times New Roman" w:hAnsi="Times New Roman" w:cs="Times New Roman" w:hint="cs"/>
                <w:sz w:val="30"/>
                <w:szCs w:val="30"/>
                <w:cs/>
              </w:rPr>
              <w:t>√</w:t>
            </w:r>
          </w:p>
        </w:tc>
        <w:tc>
          <w:tcPr>
            <w:tcW w:w="1607" w:type="dxa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-</w:t>
            </w:r>
          </w:p>
        </w:tc>
        <w:tc>
          <w:tcPr>
            <w:tcW w:w="1440" w:type="dxa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Times New Roman" w:hAnsi="Times New Roman" w:cs="Times New Roman" w:hint="cs"/>
                <w:sz w:val="30"/>
                <w:szCs w:val="30"/>
                <w:cs/>
              </w:rPr>
              <w:t>√</w:t>
            </w:r>
          </w:p>
        </w:tc>
        <w:tc>
          <w:tcPr>
            <w:tcW w:w="1484" w:type="dxa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ปานกลาง</w:t>
            </w:r>
          </w:p>
        </w:tc>
      </w:tr>
      <w:tr w:rsidR="001F3774" w:rsidRPr="003621BA" w:rsidTr="00A856DD">
        <w:trPr>
          <w:jc w:val="center"/>
        </w:trPr>
        <w:tc>
          <w:tcPr>
            <w:tcW w:w="1998" w:type="dxa"/>
          </w:tcPr>
          <w:p w:rsidR="001F3774" w:rsidRPr="003621BA" w:rsidRDefault="001F3774" w:rsidP="003621BA">
            <w:pPr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Private Fund Management</w:t>
            </w:r>
          </w:p>
        </w:tc>
        <w:tc>
          <w:tcPr>
            <w:tcW w:w="1710" w:type="dxa"/>
          </w:tcPr>
          <w:p w:rsidR="001F3774" w:rsidRPr="003621BA" w:rsidRDefault="001F3774" w:rsidP="003621BA">
            <w:pPr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 xml:space="preserve">พบหน้า </w:t>
            </w:r>
          </w:p>
        </w:tc>
        <w:tc>
          <w:tcPr>
            <w:tcW w:w="4816" w:type="dxa"/>
            <w:gridSpan w:val="3"/>
          </w:tcPr>
          <w:p w:rsidR="001F3774" w:rsidRPr="003621BA" w:rsidRDefault="001F3774" w:rsidP="003621BA">
            <w:pPr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 xml:space="preserve">เนื่องจาก </w:t>
            </w:r>
            <w:r w:rsidRPr="003621BA">
              <w:rPr>
                <w:rFonts w:ascii="DilleniaUPC" w:hAnsi="DilleniaUPC" w:cs="DilleniaUPC"/>
                <w:sz w:val="30"/>
                <w:szCs w:val="30"/>
              </w:rPr>
              <w:t xml:space="preserve">Fund Manager </w:t>
            </w: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เป็นผู้บริหารให้ จึงไม่จำเป็นต้องติดต่อรับคำสั่งในการซื้อขาย แต่มีการรายงานผลการลงทุนโดยสม่ำเสมอ</w:t>
            </w:r>
          </w:p>
        </w:tc>
        <w:tc>
          <w:tcPr>
            <w:tcW w:w="1484" w:type="dxa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ต่ำ</w:t>
            </w:r>
          </w:p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sz w:val="30"/>
                <w:szCs w:val="30"/>
                <w:cs/>
              </w:rPr>
            </w:pPr>
          </w:p>
        </w:tc>
      </w:tr>
      <w:tr w:rsidR="001F3774" w:rsidRPr="003621BA" w:rsidTr="00A856DD">
        <w:trPr>
          <w:jc w:val="center"/>
        </w:trPr>
        <w:tc>
          <w:tcPr>
            <w:tcW w:w="1998" w:type="dxa"/>
          </w:tcPr>
          <w:p w:rsidR="001F3774" w:rsidRPr="003621BA" w:rsidRDefault="001F3774" w:rsidP="003621BA">
            <w:pPr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Selling Agent</w:t>
            </w:r>
          </w:p>
        </w:tc>
        <w:tc>
          <w:tcPr>
            <w:tcW w:w="1710" w:type="dxa"/>
          </w:tcPr>
          <w:p w:rsidR="001F3774" w:rsidRPr="003621BA" w:rsidRDefault="001F3774" w:rsidP="003621BA">
            <w:pPr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พบหน้า/ส่งเอกสารทางไปรษณีย์</w:t>
            </w:r>
          </w:p>
        </w:tc>
        <w:tc>
          <w:tcPr>
            <w:tcW w:w="1769" w:type="dxa"/>
          </w:tcPr>
          <w:p w:rsidR="001F3774" w:rsidRPr="003621BA" w:rsidRDefault="005B52E1" w:rsidP="003621BA">
            <w:pPr>
              <w:jc w:val="center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Times New Roman" w:hAnsi="Times New Roman" w:cs="Times New Roman" w:hint="cs"/>
                <w:sz w:val="30"/>
                <w:szCs w:val="30"/>
                <w:cs/>
              </w:rPr>
              <w:t>√</w:t>
            </w:r>
          </w:p>
        </w:tc>
        <w:tc>
          <w:tcPr>
            <w:tcW w:w="1607" w:type="dxa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Times New Roman" w:hAnsi="Times New Roman" w:cs="Times New Roman" w:hint="cs"/>
                <w:sz w:val="30"/>
                <w:szCs w:val="30"/>
                <w:cs/>
              </w:rPr>
              <w:t>√</w:t>
            </w:r>
          </w:p>
        </w:tc>
        <w:tc>
          <w:tcPr>
            <w:tcW w:w="1440" w:type="dxa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-</w:t>
            </w:r>
          </w:p>
        </w:tc>
        <w:tc>
          <w:tcPr>
            <w:tcW w:w="1484" w:type="dxa"/>
          </w:tcPr>
          <w:p w:rsidR="001F3774" w:rsidRPr="003621BA" w:rsidRDefault="001F3774" w:rsidP="003621BA">
            <w:pPr>
              <w:jc w:val="center"/>
              <w:rPr>
                <w:rFonts w:ascii="DilleniaUPC" w:hAnsi="DilleniaUPC" w:cs="DilleniaUPC"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ต่ำ</w:t>
            </w:r>
          </w:p>
        </w:tc>
      </w:tr>
      <w:tr w:rsidR="00883A3B" w:rsidRPr="003621BA" w:rsidTr="00A856DD">
        <w:trPr>
          <w:jc w:val="center"/>
        </w:trPr>
        <w:tc>
          <w:tcPr>
            <w:tcW w:w="1998" w:type="dxa"/>
          </w:tcPr>
          <w:p w:rsidR="00883A3B" w:rsidRPr="003621BA" w:rsidRDefault="00883A3B" w:rsidP="003621BA">
            <w:pPr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Securities Borrowing and Lending</w:t>
            </w:r>
          </w:p>
        </w:tc>
        <w:tc>
          <w:tcPr>
            <w:tcW w:w="1710" w:type="dxa"/>
          </w:tcPr>
          <w:p w:rsidR="00883A3B" w:rsidRPr="003621BA" w:rsidRDefault="00883A3B" w:rsidP="003621BA">
            <w:pPr>
              <w:rPr>
                <w:rFonts w:ascii="DilleniaUPC" w:hAnsi="DilleniaUPC" w:cs="DilleniaUPC"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พบหน้า</w:t>
            </w:r>
          </w:p>
        </w:tc>
        <w:tc>
          <w:tcPr>
            <w:tcW w:w="1769" w:type="dxa"/>
          </w:tcPr>
          <w:p w:rsidR="00883A3B" w:rsidRPr="003621BA" w:rsidRDefault="00883A3B" w:rsidP="003621BA">
            <w:pPr>
              <w:jc w:val="center"/>
              <w:rPr>
                <w:rFonts w:ascii="DilleniaUPC" w:hAnsi="DilleniaUPC" w:cs="DilleniaUPC"/>
                <w:sz w:val="30"/>
                <w:szCs w:val="30"/>
                <w:cs/>
              </w:rPr>
            </w:pPr>
            <w:r w:rsidRPr="003621BA">
              <w:rPr>
                <w:rFonts w:ascii="Times New Roman" w:hAnsi="Times New Roman" w:cs="Times New Roman" w:hint="cs"/>
                <w:sz w:val="30"/>
                <w:szCs w:val="30"/>
                <w:cs/>
              </w:rPr>
              <w:t>√</w:t>
            </w:r>
          </w:p>
        </w:tc>
        <w:tc>
          <w:tcPr>
            <w:tcW w:w="1607" w:type="dxa"/>
          </w:tcPr>
          <w:p w:rsidR="00883A3B" w:rsidRPr="003621BA" w:rsidRDefault="00883A3B" w:rsidP="003621BA">
            <w:pPr>
              <w:jc w:val="center"/>
              <w:rPr>
                <w:rFonts w:ascii="DilleniaUPC" w:hAnsi="DilleniaUPC" w:cs="DilleniaUPC"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883A3B" w:rsidRPr="003621BA" w:rsidRDefault="00883A3B" w:rsidP="003621BA">
            <w:pPr>
              <w:jc w:val="center"/>
              <w:rPr>
                <w:rFonts w:ascii="DilleniaUPC" w:hAnsi="DilleniaUPC" w:cs="DilleniaUPC"/>
                <w:sz w:val="30"/>
                <w:szCs w:val="30"/>
                <w:cs/>
              </w:rPr>
            </w:pPr>
            <w:r w:rsidRPr="003621BA">
              <w:rPr>
                <w:rFonts w:ascii="Times New Roman" w:hAnsi="Times New Roman" w:cs="Times New Roman" w:hint="cs"/>
                <w:sz w:val="30"/>
                <w:szCs w:val="30"/>
                <w:cs/>
              </w:rPr>
              <w:t>√</w:t>
            </w:r>
          </w:p>
        </w:tc>
        <w:tc>
          <w:tcPr>
            <w:tcW w:w="1484" w:type="dxa"/>
          </w:tcPr>
          <w:p w:rsidR="00883A3B" w:rsidRPr="003621BA" w:rsidRDefault="00883A3B" w:rsidP="003621BA">
            <w:pPr>
              <w:jc w:val="center"/>
              <w:rPr>
                <w:rFonts w:ascii="DilleniaUPC" w:hAnsi="DilleniaUPC" w:cs="DilleniaUPC"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ปานกลาง</w:t>
            </w:r>
          </w:p>
        </w:tc>
      </w:tr>
    </w:tbl>
    <w:p w:rsidR="00626B70" w:rsidRPr="003621BA" w:rsidRDefault="0068310D" w:rsidP="000D3F02">
      <w:pPr>
        <w:spacing w:after="0" w:line="240" w:lineRule="auto"/>
        <w:ind w:right="27"/>
        <w:jc w:val="thaiDistribute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  <w:u w:val="single"/>
          <w:cs/>
        </w:rPr>
        <w:t>หมายเหตุ</w:t>
      </w:r>
      <w:r w:rsidRPr="003621BA">
        <w:rPr>
          <w:rFonts w:ascii="DilleniaUPC" w:hAnsi="DilleniaUPC" w:cs="DilleniaUPC"/>
          <w:sz w:val="30"/>
          <w:szCs w:val="30"/>
        </w:rPr>
        <w:t xml:space="preserve">: </w:t>
      </w:r>
      <w:r w:rsidRPr="003621BA">
        <w:rPr>
          <w:rFonts w:ascii="DilleniaUPC" w:hAnsi="DilleniaUPC" w:cs="DilleniaUPC"/>
          <w:sz w:val="30"/>
          <w:szCs w:val="30"/>
          <w:cs/>
        </w:rPr>
        <w:t>สำหรับธุรกรรมการจัดจำหน่ายหลักทรัพย์และการเป็นที่ปรึกษาทางการเงิน ไม่ต้องพิจารณาปัจจัยความเสี่ยงเกี่ยวกับช่องทางการให้บริการ</w:t>
      </w:r>
    </w:p>
    <w:p w:rsidR="003621BA" w:rsidRDefault="003621BA">
      <w:pPr>
        <w:rPr>
          <w:rFonts w:ascii="DilleniaUPC" w:hAnsi="DilleniaUPC" w:cs="DilleniaUPC"/>
          <w:b/>
          <w:bCs/>
          <w:sz w:val="30"/>
          <w:szCs w:val="30"/>
          <w:u w:val="single"/>
          <w:cs/>
        </w:rPr>
      </w:pPr>
      <w:r>
        <w:rPr>
          <w:rFonts w:ascii="DilleniaUPC" w:hAnsi="DilleniaUPC" w:cs="DilleniaUPC"/>
          <w:b/>
          <w:bCs/>
          <w:sz w:val="30"/>
          <w:szCs w:val="30"/>
          <w:u w:val="single"/>
          <w:cs/>
        </w:rPr>
        <w:br w:type="page"/>
      </w:r>
    </w:p>
    <w:p w:rsidR="00626B70" w:rsidRDefault="002F2CBC" w:rsidP="008E704E">
      <w:pPr>
        <w:spacing w:after="0"/>
        <w:rPr>
          <w:rFonts w:ascii="DilleniaUPC" w:hAnsi="DilleniaUPC" w:cs="DilleniaUPC"/>
          <w:b/>
          <w:bCs/>
          <w:sz w:val="30"/>
          <w:szCs w:val="30"/>
          <w:u w:val="single"/>
        </w:rPr>
      </w:pPr>
      <w:r w:rsidRPr="003621BA">
        <w:rPr>
          <w:rFonts w:ascii="DilleniaUPC" w:hAnsi="DilleniaUPC" w:cs="DilleniaUPC"/>
          <w:b/>
          <w:bCs/>
          <w:sz w:val="30"/>
          <w:szCs w:val="30"/>
          <w:u w:val="single"/>
          <w:cs/>
        </w:rPr>
        <w:lastRenderedPageBreak/>
        <w:t>การประเมินความเสี่ยง</w:t>
      </w:r>
      <w:r w:rsidR="00883A3B" w:rsidRPr="003621BA">
        <w:rPr>
          <w:rFonts w:ascii="DilleniaUPC" w:hAnsi="DilleniaUPC" w:cs="DilleniaUPC"/>
          <w:b/>
          <w:bCs/>
          <w:sz w:val="30"/>
          <w:szCs w:val="30"/>
          <w:u w:val="single"/>
          <w:cs/>
        </w:rPr>
        <w:t>ด้านการฟอกเงินโดยพิจารณาจาก</w:t>
      </w:r>
      <w:r w:rsidRPr="003621BA">
        <w:rPr>
          <w:rFonts w:ascii="DilleniaUPC" w:hAnsi="DilleniaUPC" w:cs="DilleniaUPC"/>
          <w:b/>
          <w:bCs/>
          <w:sz w:val="30"/>
          <w:szCs w:val="30"/>
          <w:u w:val="single"/>
          <w:cs/>
        </w:rPr>
        <w:t>ลูกค้า</w:t>
      </w:r>
    </w:p>
    <w:p w:rsidR="003621BA" w:rsidRPr="0065683D" w:rsidRDefault="003621BA" w:rsidP="003621BA">
      <w:pPr>
        <w:spacing w:after="0"/>
        <w:jc w:val="center"/>
        <w:rPr>
          <w:rFonts w:ascii="DilleniaUPC" w:hAnsi="DilleniaUPC" w:cs="DilleniaUPC"/>
          <w:b/>
          <w:bCs/>
          <w:sz w:val="20"/>
          <w:szCs w:val="20"/>
          <w:u w:val="single"/>
        </w:rPr>
      </w:pPr>
    </w:p>
    <w:p w:rsidR="002F2CBC" w:rsidRPr="003621BA" w:rsidRDefault="002F2CBC" w:rsidP="003621BA">
      <w:pPr>
        <w:spacing w:after="0"/>
        <w:rPr>
          <w:rFonts w:ascii="DilleniaUPC" w:hAnsi="DilleniaUPC" w:cs="DilleniaUPC"/>
          <w:sz w:val="30"/>
          <w:szCs w:val="30"/>
        </w:rPr>
      </w:pPr>
      <w:r w:rsidRPr="003621BA">
        <w:rPr>
          <w:rFonts w:ascii="DilleniaUPC" w:hAnsi="DilleniaUPC" w:cs="DilleniaUPC"/>
          <w:sz w:val="30"/>
          <w:szCs w:val="30"/>
          <w:cs/>
        </w:rPr>
        <w:t>จากปัจจัยในการพิจารณาความเสี่ยงสูงและต่ำ</w:t>
      </w:r>
      <w:r w:rsidR="00C11254" w:rsidRPr="003621BA">
        <w:rPr>
          <w:rFonts w:ascii="DilleniaUPC" w:hAnsi="DilleniaUPC" w:cs="DilleniaUPC"/>
          <w:sz w:val="30"/>
          <w:szCs w:val="30"/>
          <w:cs/>
        </w:rPr>
        <w:t>ของลูกค้า</w:t>
      </w:r>
      <w:r w:rsidRPr="003621BA">
        <w:rPr>
          <w:rFonts w:ascii="DilleniaUPC" w:hAnsi="DilleniaUPC" w:cs="DilleniaUPC"/>
          <w:sz w:val="30"/>
          <w:szCs w:val="30"/>
          <w:cs/>
        </w:rPr>
        <w:t>ตามกฎกระทรวงและตามคู่มือสรุปได้ดังนี้</w:t>
      </w:r>
    </w:p>
    <w:tbl>
      <w:tblPr>
        <w:tblStyle w:val="TableGrid"/>
        <w:tblW w:w="9288" w:type="dxa"/>
        <w:jc w:val="center"/>
        <w:tblLook w:val="04A0" w:firstRow="1" w:lastRow="0" w:firstColumn="1" w:lastColumn="0" w:noHBand="0" w:noVBand="1"/>
      </w:tblPr>
      <w:tblGrid>
        <w:gridCol w:w="3078"/>
        <w:gridCol w:w="2160"/>
        <w:gridCol w:w="4050"/>
      </w:tblGrid>
      <w:tr w:rsidR="00781136" w:rsidRPr="003621BA" w:rsidTr="003621BA">
        <w:trPr>
          <w:jc w:val="center"/>
        </w:trPr>
        <w:tc>
          <w:tcPr>
            <w:tcW w:w="3078" w:type="dxa"/>
          </w:tcPr>
          <w:p w:rsidR="00781136" w:rsidRPr="003621BA" w:rsidRDefault="00781136" w:rsidP="003621BA">
            <w:pPr>
              <w:spacing w:line="276" w:lineRule="auto"/>
              <w:jc w:val="center"/>
              <w:rPr>
                <w:rFonts w:ascii="DilleniaUPC" w:hAnsi="DilleniaUPC" w:cs="DilleniaUPC"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Cs/>
                <w:sz w:val="30"/>
                <w:szCs w:val="30"/>
                <w:cs/>
              </w:rPr>
              <w:t>ความเสี่ยงสูง</w:t>
            </w:r>
          </w:p>
        </w:tc>
        <w:tc>
          <w:tcPr>
            <w:tcW w:w="2160" w:type="dxa"/>
          </w:tcPr>
          <w:p w:rsidR="00781136" w:rsidRPr="003621BA" w:rsidRDefault="00781136" w:rsidP="003621BA">
            <w:pPr>
              <w:spacing w:line="276" w:lineRule="auto"/>
              <w:jc w:val="center"/>
              <w:rPr>
                <w:rFonts w:ascii="DilleniaUPC" w:hAnsi="DilleniaUPC" w:cs="DilleniaUPC"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Cs/>
                <w:sz w:val="30"/>
                <w:szCs w:val="30"/>
                <w:cs/>
              </w:rPr>
              <w:t>ความเสี่ยงปานกลาง</w:t>
            </w:r>
          </w:p>
        </w:tc>
        <w:tc>
          <w:tcPr>
            <w:tcW w:w="4050" w:type="dxa"/>
          </w:tcPr>
          <w:p w:rsidR="00781136" w:rsidRPr="003621BA" w:rsidRDefault="00781136" w:rsidP="003621BA">
            <w:pPr>
              <w:spacing w:line="276" w:lineRule="auto"/>
              <w:jc w:val="center"/>
              <w:rPr>
                <w:rFonts w:ascii="DilleniaUPC" w:hAnsi="DilleniaUPC" w:cs="DilleniaUPC"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Cs/>
                <w:sz w:val="30"/>
                <w:szCs w:val="30"/>
                <w:cs/>
              </w:rPr>
              <w:t>ความเสี่ยงต่ำ</w:t>
            </w:r>
          </w:p>
        </w:tc>
      </w:tr>
      <w:tr w:rsidR="004A3504" w:rsidRPr="003621BA" w:rsidTr="003621BA">
        <w:trPr>
          <w:jc w:val="center"/>
        </w:trPr>
        <w:tc>
          <w:tcPr>
            <w:tcW w:w="3078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ลูกค้าที่พบรายชื่อในฐานข้อมูล </w:t>
            </w:r>
            <w:r w:rsidRPr="003621BA">
              <w:rPr>
                <w:rFonts w:ascii="DilleniaUPC" w:hAnsi="DilleniaUPC" w:cs="DilleniaUPC"/>
                <w:b/>
                <w:sz w:val="30"/>
                <w:szCs w:val="30"/>
              </w:rPr>
              <w:t>CDD Gateway</w:t>
            </w: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 ที่ไม่ใช่รายชื่อบุคคลที่ถูกกำหนด</w:t>
            </w:r>
          </w:p>
        </w:tc>
        <w:tc>
          <w:tcPr>
            <w:tcW w:w="2160" w:type="dxa"/>
          </w:tcPr>
          <w:p w:rsidR="00CA4660" w:rsidRPr="003621BA" w:rsidRDefault="00974923" w:rsidP="003621BA">
            <w:pPr>
              <w:spacing w:line="276" w:lineRule="auto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ลูกค้าทั่วไปที่ไม่มีความเสี่ยงสูงและความเสี่ยงต่ำ</w:t>
            </w:r>
          </w:p>
        </w:tc>
        <w:tc>
          <w:tcPr>
            <w:tcW w:w="4050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ลูกค้าที่เป็น</w:t>
            </w:r>
            <w:r w:rsidRPr="003621BA">
              <w:rPr>
                <w:rFonts w:ascii="DilleniaUPC" w:hAnsi="DilleniaUPC" w:cs="DilleniaUPC"/>
                <w:color w:val="000000"/>
                <w:sz w:val="30"/>
                <w:szCs w:val="30"/>
                <w:cs/>
              </w:rPr>
              <w:t>รัฐบาล ราชการส่วนกลาง ราชการส่วนภูมิภาค ราชการส่วนท้องถิ่น รัฐวิสาหกิจ องค์การมหาชน หรือหน่วยงานอื่นของรัฐ</w:t>
            </w:r>
            <w:r w:rsidRPr="003621BA">
              <w:rPr>
                <w:rFonts w:ascii="DilleniaUPC" w:hAnsi="DilleniaUPC" w:cs="DilleniaUPC"/>
                <w:b/>
                <w:color w:val="000000"/>
                <w:sz w:val="30"/>
                <w:szCs w:val="30"/>
                <w:cs/>
              </w:rPr>
              <w:t>ทั้งไทยและต่างประเทศที่มีการปฏิบัติตาม</w:t>
            </w:r>
            <w:r w:rsidR="00DD4933">
              <w:rPr>
                <w:rFonts w:ascii="DilleniaUPC" w:hAnsi="DilleniaUPC" w:cs="DilleniaUPC" w:hint="cs"/>
                <w:b/>
                <w:color w:val="000000"/>
                <w:sz w:val="30"/>
                <w:szCs w:val="30"/>
                <w:cs/>
              </w:rPr>
              <w:t xml:space="preserve"> </w:t>
            </w:r>
            <w:r w:rsidR="00010008" w:rsidRPr="003621BA">
              <w:rPr>
                <w:rFonts w:ascii="DilleniaUPC" w:hAnsi="DilleniaUPC" w:cs="DilleniaUPC"/>
                <w:b/>
                <w:sz w:val="30"/>
                <w:szCs w:val="30"/>
              </w:rPr>
              <w:t>FATF</w:t>
            </w:r>
          </w:p>
        </w:tc>
      </w:tr>
      <w:tr w:rsidR="004A3504" w:rsidRPr="003621BA" w:rsidTr="003621BA">
        <w:trPr>
          <w:jc w:val="center"/>
        </w:trPr>
        <w:tc>
          <w:tcPr>
            <w:tcW w:w="3078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 xml:space="preserve">ลูกค้าและ/หรือผู้ที่เกี่ยวข้องที่มีสถานภาพทางการเมือง </w:t>
            </w:r>
            <w:r w:rsidRPr="003621BA">
              <w:rPr>
                <w:rFonts w:ascii="DilleniaUPC" w:hAnsi="DilleniaUPC" w:cs="DilleniaUPC"/>
                <w:b/>
                <w:sz w:val="30"/>
                <w:szCs w:val="30"/>
              </w:rPr>
              <w:t>(PEPs)</w:t>
            </w:r>
          </w:p>
        </w:tc>
        <w:tc>
          <w:tcPr>
            <w:tcW w:w="2160" w:type="dxa"/>
          </w:tcPr>
          <w:p w:rsidR="00CA4660" w:rsidRPr="003621BA" w:rsidRDefault="002163DD" w:rsidP="003621BA">
            <w:pPr>
              <w:jc w:val="center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4050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color w:val="000000"/>
                <w:sz w:val="30"/>
                <w:szCs w:val="30"/>
                <w:cs/>
              </w:rPr>
              <w:t>มูลนิธิชัยพัฒนา มูลนิธิส่งเสริม</w:t>
            </w:r>
            <w:proofErr w:type="spellStart"/>
            <w:r w:rsidRPr="003621BA">
              <w:rPr>
                <w:rFonts w:ascii="DilleniaUPC" w:hAnsi="DilleniaUPC" w:cs="DilleniaUPC"/>
                <w:color w:val="000000"/>
                <w:sz w:val="30"/>
                <w:szCs w:val="30"/>
                <w:cs/>
              </w:rPr>
              <w:t>ศิล</w:t>
            </w:r>
            <w:proofErr w:type="spellEnd"/>
            <w:r w:rsidRPr="003621BA">
              <w:rPr>
                <w:rFonts w:ascii="DilleniaUPC" w:hAnsi="DilleniaUPC" w:cs="DilleniaUPC"/>
                <w:color w:val="000000"/>
                <w:sz w:val="30"/>
                <w:szCs w:val="30"/>
                <w:cs/>
              </w:rPr>
              <w:t>ปาชีพในสมเด็จพระนางเจ้าสิริกิติ์พระบรมราชินีนาถมูลนิธิสายใจไทย</w:t>
            </w:r>
            <w:r w:rsidR="002163DD" w:rsidRPr="003621BA">
              <w:rPr>
                <w:rFonts w:ascii="DilleniaUPC" w:hAnsi="DilleniaUPC" w:cs="DilleniaUPC"/>
                <w:color w:val="000000"/>
                <w:sz w:val="30"/>
                <w:szCs w:val="30"/>
              </w:rPr>
              <w:t>[</w:t>
            </w:r>
            <w:r w:rsidR="002163DD" w:rsidRPr="003621BA">
              <w:rPr>
                <w:rFonts w:ascii="DilleniaUPC" w:hAnsi="DilleniaUPC" w:cs="DilleniaUPC"/>
                <w:color w:val="000000"/>
                <w:sz w:val="30"/>
                <w:szCs w:val="30"/>
                <w:cs/>
              </w:rPr>
              <w:t>มูลนิธิแม่ฟ้าหลวง หรือมูลนิธิอื่นที่มีลักษณะคล้ายคลึงกัน</w:t>
            </w:r>
            <w:r w:rsidR="002163DD" w:rsidRPr="003621BA">
              <w:rPr>
                <w:rFonts w:ascii="DilleniaUPC" w:hAnsi="DilleniaUPC" w:cs="DilleniaUPC"/>
                <w:color w:val="000000"/>
                <w:sz w:val="30"/>
                <w:szCs w:val="30"/>
              </w:rPr>
              <w:t>]</w:t>
            </w:r>
          </w:p>
        </w:tc>
      </w:tr>
      <w:tr w:rsidR="004A3504" w:rsidRPr="003621BA" w:rsidTr="003621BA">
        <w:trPr>
          <w:jc w:val="center"/>
        </w:trPr>
        <w:tc>
          <w:tcPr>
            <w:tcW w:w="3078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 xml:space="preserve">ลูกค้าที่มีอาชีพเสี่ยงตามประกาศ </w:t>
            </w:r>
            <w:proofErr w:type="spellStart"/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ปปง</w:t>
            </w:r>
            <w:proofErr w:type="spellEnd"/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2160" w:type="dxa"/>
          </w:tcPr>
          <w:p w:rsidR="00CA4660" w:rsidRPr="003621BA" w:rsidRDefault="002163DD" w:rsidP="003621BA">
            <w:pPr>
              <w:spacing w:line="276" w:lineRule="auto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4050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เป็นสถาบันการเงินทั้งไทยและต่างประเทศที่มีการปฏิบัติตาม </w:t>
            </w:r>
            <w:r w:rsidRPr="003621BA">
              <w:rPr>
                <w:rFonts w:ascii="DilleniaUPC" w:hAnsi="DilleniaUPC" w:cs="DilleniaUPC"/>
                <w:b/>
                <w:sz w:val="30"/>
                <w:szCs w:val="30"/>
              </w:rPr>
              <w:t>FATF</w:t>
            </w:r>
          </w:p>
        </w:tc>
      </w:tr>
      <w:tr w:rsidR="004A3504" w:rsidRPr="003621BA" w:rsidTr="003621BA">
        <w:trPr>
          <w:jc w:val="center"/>
        </w:trPr>
        <w:tc>
          <w:tcPr>
            <w:tcW w:w="3078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 xml:space="preserve">ลูกค้าที่มีแหล่งที่มาของเงินหรือรายได้จากพื้นที่หรือประเทศที่มีความเสี่ยงฟอกเงินสูง หรือพื้นที่ที่ </w:t>
            </w:r>
            <w:proofErr w:type="spellStart"/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ปปง</w:t>
            </w:r>
            <w:proofErr w:type="spellEnd"/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. ประกาศกำหนด</w:t>
            </w:r>
          </w:p>
        </w:tc>
        <w:tc>
          <w:tcPr>
            <w:tcW w:w="2160" w:type="dxa"/>
          </w:tcPr>
          <w:p w:rsidR="00CA4660" w:rsidRPr="003621BA" w:rsidRDefault="004A3504" w:rsidP="003621BA">
            <w:pPr>
              <w:spacing w:line="276" w:lineRule="auto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4050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เป็นกองทุนรวม กองทุนสำรองเลี้ยงชีพ กองทุนส่วนบุคคลที่จัดตั้งขึ้นตามเกณฑ์ </w:t>
            </w:r>
            <w:proofErr w:type="spellStart"/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ก.ล.ต</w:t>
            </w:r>
            <w:proofErr w:type="spellEnd"/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. รวมถึงลูกค้ากองทุนต่างประเทศที่มีการปฏิบัติตาม </w:t>
            </w:r>
            <w:r w:rsidRPr="003621BA">
              <w:rPr>
                <w:rFonts w:ascii="DilleniaUPC" w:hAnsi="DilleniaUPC" w:cs="DilleniaUPC"/>
                <w:b/>
                <w:sz w:val="30"/>
                <w:szCs w:val="30"/>
              </w:rPr>
              <w:t>FATF</w:t>
            </w:r>
          </w:p>
        </w:tc>
      </w:tr>
      <w:tr w:rsidR="004A3504" w:rsidRPr="003621BA" w:rsidTr="003621BA">
        <w:trPr>
          <w:jc w:val="center"/>
        </w:trPr>
        <w:tc>
          <w:tcPr>
            <w:tcW w:w="3078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ลูกค้าที่พบการกระทำผิดหรือถูกกล่าวโทษจากสำนักงาน กลต. ในเรื่องการกระทำอันไม่เป็นธรรมในการซื้อขายหลักทรัพย์</w:t>
            </w:r>
          </w:p>
        </w:tc>
        <w:tc>
          <w:tcPr>
            <w:tcW w:w="2160" w:type="dxa"/>
          </w:tcPr>
          <w:p w:rsidR="00CA4660" w:rsidRPr="003621BA" w:rsidRDefault="002163DD" w:rsidP="003621BA">
            <w:pPr>
              <w:spacing w:line="276" w:lineRule="auto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4050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ลูกค้าเป็นบริษัทที่จดทะเบียนในตลาดหลักทรัพย์ และตลาดซื้อขายต่างประเทศ</w:t>
            </w:r>
          </w:p>
        </w:tc>
      </w:tr>
      <w:tr w:rsidR="00781136" w:rsidRPr="003621BA" w:rsidTr="003621BA">
        <w:trPr>
          <w:jc w:val="center"/>
        </w:trPr>
        <w:tc>
          <w:tcPr>
            <w:tcW w:w="3078" w:type="dxa"/>
          </w:tcPr>
          <w:p w:rsidR="00781136" w:rsidRPr="003621BA" w:rsidRDefault="00781136" w:rsidP="003621BA">
            <w:pPr>
              <w:spacing w:line="276" w:lineRule="auto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ลูกค้าความเสี่ยงปานกลางที่ใช้บริการที่มีความเสี่ยงสูง</w:t>
            </w:r>
          </w:p>
        </w:tc>
        <w:tc>
          <w:tcPr>
            <w:tcW w:w="2160" w:type="dxa"/>
          </w:tcPr>
          <w:p w:rsidR="00CA4660" w:rsidRPr="003621BA" w:rsidRDefault="002163DD" w:rsidP="003621BA">
            <w:pPr>
              <w:spacing w:line="276" w:lineRule="auto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4050" w:type="dxa"/>
          </w:tcPr>
          <w:p w:rsidR="00781136" w:rsidRPr="003621BA" w:rsidRDefault="004A350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ลูกค้าที่ไม่เคยพบหน้า แต่มีวงเงินจำกัดในระดับต่ำ เช่น 5 ล้านบาท</w:t>
            </w:r>
          </w:p>
        </w:tc>
      </w:tr>
      <w:tr w:rsidR="00781136" w:rsidRPr="003621BA" w:rsidTr="003621BA">
        <w:trPr>
          <w:jc w:val="center"/>
        </w:trPr>
        <w:tc>
          <w:tcPr>
            <w:tcW w:w="3078" w:type="dxa"/>
          </w:tcPr>
          <w:p w:rsidR="00781136" w:rsidRPr="003621BA" w:rsidRDefault="00781136" w:rsidP="003621BA">
            <w:pPr>
              <w:spacing w:line="276" w:lineRule="auto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ลูกค้าที่ถูกรายงานธุรกรรมที่มีเหตุอันควรสงสัย</w:t>
            </w:r>
          </w:p>
        </w:tc>
        <w:tc>
          <w:tcPr>
            <w:tcW w:w="2160" w:type="dxa"/>
          </w:tcPr>
          <w:p w:rsidR="00CA4660" w:rsidRPr="003621BA" w:rsidRDefault="002163DD" w:rsidP="003621BA">
            <w:pPr>
              <w:spacing w:line="276" w:lineRule="auto"/>
              <w:jc w:val="center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4050" w:type="dxa"/>
          </w:tcPr>
          <w:p w:rsidR="00781136" w:rsidRPr="003621BA" w:rsidRDefault="00781136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</w:p>
        </w:tc>
      </w:tr>
    </w:tbl>
    <w:p w:rsidR="002F2CBC" w:rsidRPr="003621BA" w:rsidRDefault="002F2CBC" w:rsidP="003621BA">
      <w:pPr>
        <w:spacing w:after="0"/>
        <w:rPr>
          <w:rFonts w:ascii="DilleniaUPC" w:hAnsi="DilleniaUPC" w:cs="DilleniaUPC"/>
          <w:sz w:val="30"/>
          <w:szCs w:val="30"/>
        </w:rPr>
      </w:pPr>
    </w:p>
    <w:p w:rsidR="003621BA" w:rsidRDefault="003621BA">
      <w:pPr>
        <w:rPr>
          <w:rFonts w:ascii="DilleniaUPC" w:hAnsi="DilleniaUPC" w:cs="DilleniaUPC"/>
          <w:b/>
          <w:bCs/>
          <w:sz w:val="30"/>
          <w:szCs w:val="30"/>
          <w:u w:val="single"/>
          <w:cs/>
        </w:rPr>
      </w:pPr>
      <w:r>
        <w:rPr>
          <w:rFonts w:ascii="DilleniaUPC" w:hAnsi="DilleniaUPC" w:cs="DilleniaUPC"/>
          <w:b/>
          <w:bCs/>
          <w:sz w:val="30"/>
          <w:szCs w:val="30"/>
          <w:u w:val="single"/>
          <w:cs/>
        </w:rPr>
        <w:br w:type="page"/>
      </w:r>
    </w:p>
    <w:p w:rsidR="002163DD" w:rsidRDefault="004A3504" w:rsidP="008E704E">
      <w:pPr>
        <w:spacing w:after="0"/>
        <w:rPr>
          <w:rFonts w:ascii="DilleniaUPC" w:hAnsi="DilleniaUPC" w:cs="DilleniaUPC"/>
          <w:b/>
          <w:bCs/>
          <w:sz w:val="30"/>
          <w:szCs w:val="30"/>
          <w:u w:val="single"/>
        </w:rPr>
      </w:pPr>
      <w:r w:rsidRPr="003621BA">
        <w:rPr>
          <w:rFonts w:ascii="DilleniaUPC" w:hAnsi="DilleniaUPC" w:cs="DilleniaUPC"/>
          <w:b/>
          <w:bCs/>
          <w:sz w:val="30"/>
          <w:szCs w:val="30"/>
          <w:u w:val="single"/>
          <w:cs/>
        </w:rPr>
        <w:lastRenderedPageBreak/>
        <w:t>ตารางสรุปการพิจารณาความเสี่ยงของลูกค้าควบคู่กับความเสี่ยงจากการใช้บริการและช่องทางการให้บริการ</w:t>
      </w:r>
    </w:p>
    <w:p w:rsidR="003621BA" w:rsidRPr="0065683D" w:rsidRDefault="003621BA" w:rsidP="003621BA">
      <w:pPr>
        <w:spacing w:after="0"/>
        <w:jc w:val="center"/>
        <w:rPr>
          <w:rFonts w:ascii="DilleniaUPC" w:hAnsi="DilleniaUPC" w:cs="DilleniaUPC"/>
          <w:b/>
          <w:bCs/>
          <w:sz w:val="20"/>
          <w:szCs w:val="20"/>
          <w:u w:val="single"/>
        </w:rPr>
      </w:pPr>
    </w:p>
    <w:p w:rsidR="00CA4660" w:rsidRPr="003621BA" w:rsidRDefault="00010008" w:rsidP="00437E70">
      <w:pPr>
        <w:spacing w:after="0"/>
        <w:ind w:firstLine="720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3621BA">
        <w:rPr>
          <w:rFonts w:ascii="DilleniaUPC" w:hAnsi="DilleniaUPC" w:cs="DilleniaUPC"/>
          <w:b/>
          <w:bCs/>
          <w:sz w:val="30"/>
          <w:szCs w:val="30"/>
          <w:u w:val="single"/>
          <w:cs/>
        </w:rPr>
        <w:t>หลักการ</w:t>
      </w:r>
      <w:r w:rsidR="002163DD" w:rsidRPr="003621BA">
        <w:rPr>
          <w:rFonts w:ascii="DilleniaUPC" w:hAnsi="DilleniaUPC" w:cs="DilleniaUPC"/>
          <w:sz w:val="30"/>
          <w:szCs w:val="30"/>
          <w:cs/>
        </w:rPr>
        <w:t xml:space="preserve"> การ</w:t>
      </w:r>
      <w:r w:rsidR="002F62F7" w:rsidRPr="003621BA">
        <w:rPr>
          <w:rFonts w:ascii="DilleniaUPC" w:hAnsi="DilleniaUPC" w:cs="DilleniaUPC"/>
          <w:sz w:val="30"/>
          <w:szCs w:val="30"/>
          <w:cs/>
        </w:rPr>
        <w:t>จัด</w:t>
      </w:r>
      <w:r w:rsidR="002163DD" w:rsidRPr="003621BA">
        <w:rPr>
          <w:rFonts w:ascii="DilleniaUPC" w:hAnsi="DilleniaUPC" w:cs="DilleniaUPC"/>
          <w:sz w:val="30"/>
          <w:szCs w:val="30"/>
          <w:cs/>
        </w:rPr>
        <w:t>ระดับความเสี่ยงด้านการฟอกเงินต้องพิจารณาความเสี่ยงของลูกค้าเป็นสาระสำคัญ</w:t>
      </w:r>
      <w:r w:rsidR="002F62F7" w:rsidRPr="003621BA">
        <w:rPr>
          <w:rFonts w:ascii="DilleniaUPC" w:hAnsi="DilleniaUPC" w:cs="DilleniaUPC"/>
          <w:sz w:val="30"/>
          <w:szCs w:val="30"/>
          <w:cs/>
        </w:rPr>
        <w:t>มากกว่าความเสี่ยงจากการใช้บริการและช่องทางการให้บริการ เช่น ให้น้ำหนักความเสี่ยงของลูกค้ามากกว่ากึ่งหนึ่ง เมื่อเปรียบเทียบกับความเสี่ยงจากการใช้บริการและช่องทางการให้บริการ</w:t>
      </w:r>
    </w:p>
    <w:tbl>
      <w:tblPr>
        <w:tblStyle w:val="TableGrid"/>
        <w:tblW w:w="9288" w:type="dxa"/>
        <w:jc w:val="center"/>
        <w:tblLook w:val="04A0" w:firstRow="1" w:lastRow="0" w:firstColumn="1" w:lastColumn="0" w:noHBand="0" w:noVBand="1"/>
      </w:tblPr>
      <w:tblGrid>
        <w:gridCol w:w="3078"/>
        <w:gridCol w:w="2160"/>
        <w:gridCol w:w="4050"/>
      </w:tblGrid>
      <w:tr w:rsidR="00C11254" w:rsidRPr="003621BA" w:rsidTr="003621BA">
        <w:trPr>
          <w:jc w:val="center"/>
        </w:trPr>
        <w:tc>
          <w:tcPr>
            <w:tcW w:w="3078" w:type="dxa"/>
          </w:tcPr>
          <w:p w:rsidR="00C11254" w:rsidRPr="003621BA" w:rsidRDefault="00C11254" w:rsidP="003621BA">
            <w:pPr>
              <w:spacing w:line="276" w:lineRule="auto"/>
              <w:jc w:val="center"/>
              <w:rPr>
                <w:rFonts w:ascii="DilleniaUPC" w:hAnsi="DilleniaUPC" w:cs="DilleniaUPC"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Cs/>
                <w:sz w:val="30"/>
                <w:szCs w:val="30"/>
                <w:cs/>
              </w:rPr>
              <w:t>ความเสี่ยงสูง</w:t>
            </w:r>
          </w:p>
        </w:tc>
        <w:tc>
          <w:tcPr>
            <w:tcW w:w="2160" w:type="dxa"/>
          </w:tcPr>
          <w:p w:rsidR="00C11254" w:rsidRPr="003621BA" w:rsidRDefault="00C11254" w:rsidP="003621BA">
            <w:pPr>
              <w:spacing w:line="276" w:lineRule="auto"/>
              <w:jc w:val="center"/>
              <w:rPr>
                <w:rFonts w:ascii="DilleniaUPC" w:hAnsi="DilleniaUPC" w:cs="DilleniaUPC"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Cs/>
                <w:sz w:val="30"/>
                <w:szCs w:val="30"/>
                <w:cs/>
              </w:rPr>
              <w:t>ความเสี่ยงปานกลาง</w:t>
            </w:r>
          </w:p>
        </w:tc>
        <w:tc>
          <w:tcPr>
            <w:tcW w:w="4050" w:type="dxa"/>
          </w:tcPr>
          <w:p w:rsidR="00C11254" w:rsidRPr="003621BA" w:rsidRDefault="00C11254" w:rsidP="003621BA">
            <w:pPr>
              <w:spacing w:line="276" w:lineRule="auto"/>
              <w:jc w:val="center"/>
              <w:rPr>
                <w:rFonts w:ascii="DilleniaUPC" w:hAnsi="DilleniaUPC" w:cs="DilleniaUPC"/>
                <w:bCs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Cs/>
                <w:sz w:val="30"/>
                <w:szCs w:val="30"/>
                <w:cs/>
              </w:rPr>
              <w:t>ความเสี่ยงต่ำ</w:t>
            </w:r>
          </w:p>
        </w:tc>
      </w:tr>
      <w:tr w:rsidR="00C11254" w:rsidRPr="003621BA" w:rsidTr="003621BA">
        <w:trPr>
          <w:jc w:val="center"/>
        </w:trPr>
        <w:tc>
          <w:tcPr>
            <w:tcW w:w="3078" w:type="dxa"/>
          </w:tcPr>
          <w:p w:rsidR="00C11254" w:rsidRPr="003621BA" w:rsidRDefault="00C11254" w:rsidP="003621BA">
            <w:pPr>
              <w:spacing w:line="276" w:lineRule="auto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ลูกค้าความเสี่ยงสูงทุกกรณี</w:t>
            </w:r>
          </w:p>
        </w:tc>
        <w:tc>
          <w:tcPr>
            <w:tcW w:w="2160" w:type="dxa"/>
          </w:tcPr>
          <w:p w:rsidR="00C11254" w:rsidRPr="003621BA" w:rsidRDefault="00C1125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ลูกค้าทั่วไปที่ใช้บริการ และ/หรือ ช่องทางการให้บริการที่มีความเสี่ยงปานกลาง</w:t>
            </w:r>
          </w:p>
        </w:tc>
        <w:tc>
          <w:tcPr>
            <w:tcW w:w="4050" w:type="dxa"/>
          </w:tcPr>
          <w:p w:rsidR="00C11254" w:rsidRPr="003621BA" w:rsidRDefault="00C1125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ลูกค้าความเสี่ยงต่ำตามประกาศ </w:t>
            </w:r>
            <w:proofErr w:type="spellStart"/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ปปง</w:t>
            </w:r>
            <w:proofErr w:type="spellEnd"/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. ทุกกรณี</w:t>
            </w:r>
            <w:r w:rsidR="004A3504"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 ที่ใช้บริการที่มีความต่ำถึงปานกลาง</w:t>
            </w:r>
          </w:p>
        </w:tc>
      </w:tr>
      <w:tr w:rsidR="004A3504" w:rsidRPr="003621BA" w:rsidTr="003621BA">
        <w:trPr>
          <w:jc w:val="center"/>
        </w:trPr>
        <w:tc>
          <w:tcPr>
            <w:tcW w:w="3078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ลูกค้าความเสี่ยงปานกลางที่ใช้บริการที่มีความเสี่ยงสูง</w:t>
            </w:r>
          </w:p>
        </w:tc>
        <w:tc>
          <w:tcPr>
            <w:tcW w:w="2160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ลูกค้าความเสี่ยงต่ำที่ใช้บริการที่มีความเสี่ยงสูง</w:t>
            </w:r>
          </w:p>
        </w:tc>
        <w:tc>
          <w:tcPr>
            <w:tcW w:w="4050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ลูกค้าที่ไม่เคยพบหน้า แต่มีวงเงินจำกัดในระดับต่ำ เช่น 5 ล้านบาท</w:t>
            </w:r>
          </w:p>
        </w:tc>
      </w:tr>
      <w:tr w:rsidR="004A3504" w:rsidRPr="003621BA" w:rsidTr="003621BA">
        <w:trPr>
          <w:jc w:val="center"/>
        </w:trPr>
        <w:tc>
          <w:tcPr>
            <w:tcW w:w="3078" w:type="dxa"/>
          </w:tcPr>
          <w:p w:rsidR="004A3504" w:rsidRPr="003621BA" w:rsidRDefault="00883A3B" w:rsidP="003621BA">
            <w:pPr>
              <w:spacing w:line="276" w:lineRule="auto"/>
              <w:rPr>
                <w:rFonts w:ascii="DilleniaUPC" w:hAnsi="DilleniaUPC" w:cs="DilleniaUPC"/>
                <w:sz w:val="30"/>
                <w:szCs w:val="30"/>
              </w:rPr>
            </w:pP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ลูกค้าทั่วไปที่ขอวงเงินไม่เหมาะสมกับรายได้ ฐานะ</w:t>
            </w:r>
            <w:r w:rsidR="00C438AE" w:rsidRPr="003621BA">
              <w:rPr>
                <w:rFonts w:ascii="DilleniaUPC" w:hAnsi="DilleniaUPC" w:cs="DilleniaUPC"/>
                <w:sz w:val="30"/>
                <w:szCs w:val="30"/>
                <w:cs/>
              </w:rPr>
              <w:t>ทาง</w:t>
            </w:r>
            <w:r w:rsidRPr="003621BA">
              <w:rPr>
                <w:rFonts w:ascii="DilleniaUPC" w:hAnsi="DilleniaUPC" w:cs="DilleniaUPC"/>
                <w:sz w:val="30"/>
                <w:szCs w:val="30"/>
                <w:cs/>
              </w:rPr>
              <w:t>การเงิน หรือทรัพย์สินของลูกค้า และไม่อาจให้เหตุผลของแหล่งที่มาของรายได้</w:t>
            </w:r>
          </w:p>
        </w:tc>
        <w:tc>
          <w:tcPr>
            <w:tcW w:w="2160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</w:rPr>
            </w:pPr>
          </w:p>
        </w:tc>
        <w:tc>
          <w:tcPr>
            <w:tcW w:w="4050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ลูกค้าทั่วไปที่ใช้บริการ และ/หรือ ช่องทางการให้บริการที่มีความเสี่ยงต่ำเท่านั้น</w:t>
            </w:r>
          </w:p>
        </w:tc>
      </w:tr>
      <w:tr w:rsidR="004A3504" w:rsidRPr="003621BA" w:rsidTr="003621BA">
        <w:trPr>
          <w:jc w:val="center"/>
        </w:trPr>
        <w:tc>
          <w:tcPr>
            <w:tcW w:w="3078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sz w:val="30"/>
                <w:szCs w:val="30"/>
              </w:rPr>
            </w:pPr>
          </w:p>
        </w:tc>
        <w:tc>
          <w:tcPr>
            <w:tcW w:w="2160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</w:rPr>
            </w:pPr>
          </w:p>
        </w:tc>
        <w:tc>
          <w:tcPr>
            <w:tcW w:w="4050" w:type="dxa"/>
          </w:tcPr>
          <w:p w:rsidR="004A3504" w:rsidRPr="003621BA" w:rsidRDefault="004A3504" w:rsidP="003621BA">
            <w:pPr>
              <w:spacing w:line="276" w:lineRule="auto"/>
              <w:rPr>
                <w:rFonts w:ascii="DilleniaUPC" w:hAnsi="DilleniaUPC" w:cs="DilleniaUPC"/>
                <w:b/>
                <w:sz w:val="30"/>
                <w:szCs w:val="30"/>
                <w:cs/>
              </w:rPr>
            </w:pP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 xml:space="preserve">ลูกค้าที่เปิดบัญชี </w:t>
            </w:r>
            <w:r w:rsidR="005C4407">
              <w:rPr>
                <w:rFonts w:ascii="DilleniaUPC" w:hAnsi="DilleniaUPC" w:cs="DilleniaUPC"/>
                <w:b/>
                <w:sz w:val="30"/>
                <w:szCs w:val="30"/>
              </w:rPr>
              <w:t>Credit B</w:t>
            </w:r>
            <w:r w:rsidRPr="003621BA">
              <w:rPr>
                <w:rFonts w:ascii="DilleniaUPC" w:hAnsi="DilleniaUPC" w:cs="DilleniaUPC"/>
                <w:b/>
                <w:sz w:val="30"/>
                <w:szCs w:val="30"/>
              </w:rPr>
              <w:t xml:space="preserve">alance </w:t>
            </w:r>
            <w:r w:rsidRPr="003621BA">
              <w:rPr>
                <w:rFonts w:ascii="DilleniaUPC" w:hAnsi="DilleniaUPC" w:cs="DilleniaUPC"/>
                <w:b/>
                <w:sz w:val="30"/>
                <w:szCs w:val="30"/>
                <w:cs/>
              </w:rPr>
              <w:t>ประเภทเดียว</w:t>
            </w:r>
          </w:p>
        </w:tc>
      </w:tr>
    </w:tbl>
    <w:p w:rsidR="00555C99" w:rsidRPr="003621BA" w:rsidRDefault="00555C99" w:rsidP="003621BA">
      <w:pPr>
        <w:spacing w:after="0"/>
        <w:rPr>
          <w:rFonts w:ascii="DilleniaUPC" w:hAnsi="DilleniaUPC" w:cs="DilleniaUPC"/>
          <w:sz w:val="30"/>
          <w:szCs w:val="30"/>
          <w:cs/>
        </w:rPr>
      </w:pPr>
    </w:p>
    <w:sectPr w:rsidR="00555C99" w:rsidRPr="003621BA" w:rsidSect="003912F0">
      <w:footerReference w:type="default" r:id="rId8"/>
      <w:pgSz w:w="11907" w:h="16839" w:code="9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7D" w:rsidRDefault="00893A7D" w:rsidP="0065683D">
      <w:pPr>
        <w:spacing w:after="0" w:line="240" w:lineRule="auto"/>
      </w:pPr>
      <w:r>
        <w:separator/>
      </w:r>
    </w:p>
  </w:endnote>
  <w:endnote w:type="continuationSeparator" w:id="0">
    <w:p w:rsidR="00893A7D" w:rsidRDefault="00893A7D" w:rsidP="0065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005171"/>
      <w:docPartObj>
        <w:docPartGallery w:val="Page Numbers (Bottom of Page)"/>
        <w:docPartUnique/>
      </w:docPartObj>
    </w:sdtPr>
    <w:sdtEndPr>
      <w:rPr>
        <w:rFonts w:ascii="DilleniaUPC" w:hAnsi="DilleniaUPC" w:cs="DilleniaUPC"/>
        <w:noProof/>
        <w:sz w:val="28"/>
      </w:rPr>
    </w:sdtEndPr>
    <w:sdtContent>
      <w:p w:rsidR="00E656C3" w:rsidRPr="000D3F02" w:rsidRDefault="00E145AF">
        <w:pPr>
          <w:pStyle w:val="Footer"/>
          <w:jc w:val="right"/>
          <w:rPr>
            <w:rFonts w:ascii="DilleniaUPC" w:hAnsi="DilleniaUPC" w:cs="DilleniaUPC"/>
            <w:sz w:val="28"/>
          </w:rPr>
        </w:pPr>
        <w:r w:rsidRPr="000D3F02">
          <w:rPr>
            <w:rFonts w:ascii="DilleniaUPC" w:hAnsi="DilleniaUPC" w:cs="DilleniaUPC"/>
            <w:sz w:val="28"/>
          </w:rPr>
          <w:fldChar w:fldCharType="begin"/>
        </w:r>
        <w:r w:rsidR="00E656C3" w:rsidRPr="000D3F02">
          <w:rPr>
            <w:rFonts w:ascii="DilleniaUPC" w:hAnsi="DilleniaUPC" w:cs="DilleniaUPC"/>
            <w:sz w:val="28"/>
          </w:rPr>
          <w:instrText xml:space="preserve"> PAGE   \* MERGEFORMAT </w:instrText>
        </w:r>
        <w:r w:rsidRPr="000D3F02">
          <w:rPr>
            <w:rFonts w:ascii="DilleniaUPC" w:hAnsi="DilleniaUPC" w:cs="DilleniaUPC"/>
            <w:sz w:val="28"/>
          </w:rPr>
          <w:fldChar w:fldCharType="separate"/>
        </w:r>
        <w:r w:rsidR="00127EB6">
          <w:rPr>
            <w:rFonts w:ascii="DilleniaUPC" w:hAnsi="DilleniaUPC" w:cs="DilleniaUPC"/>
            <w:noProof/>
            <w:sz w:val="28"/>
          </w:rPr>
          <w:t>1</w:t>
        </w:r>
        <w:r w:rsidRPr="000D3F02">
          <w:rPr>
            <w:rFonts w:ascii="DilleniaUPC" w:hAnsi="DilleniaUPC" w:cs="DilleniaUPC"/>
            <w:noProof/>
            <w:sz w:val="28"/>
          </w:rPr>
          <w:fldChar w:fldCharType="end"/>
        </w:r>
      </w:p>
    </w:sdtContent>
  </w:sdt>
  <w:p w:rsidR="00E656C3" w:rsidRDefault="00E65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7D" w:rsidRDefault="00893A7D" w:rsidP="0065683D">
      <w:pPr>
        <w:spacing w:after="0" w:line="240" w:lineRule="auto"/>
      </w:pPr>
      <w:r>
        <w:separator/>
      </w:r>
    </w:p>
  </w:footnote>
  <w:footnote w:type="continuationSeparator" w:id="0">
    <w:p w:rsidR="00893A7D" w:rsidRDefault="00893A7D" w:rsidP="0065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AC7"/>
    <w:multiLevelType w:val="hybridMultilevel"/>
    <w:tmpl w:val="840C2AC0"/>
    <w:lvl w:ilvl="0" w:tplc="33E4051E">
      <w:start w:val="2"/>
      <w:numFmt w:val="bullet"/>
      <w:lvlText w:val="-"/>
      <w:lvlJc w:val="left"/>
      <w:pPr>
        <w:ind w:left="1080" w:hanging="360"/>
      </w:pPr>
      <w:rPr>
        <w:rFonts w:ascii="DilleniaUPC" w:eastAsiaTheme="minorEastAsia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6F4FA8"/>
    <w:multiLevelType w:val="hybridMultilevel"/>
    <w:tmpl w:val="70EC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56848"/>
    <w:multiLevelType w:val="hybridMultilevel"/>
    <w:tmpl w:val="D3ECBEDC"/>
    <w:lvl w:ilvl="0" w:tplc="B6B48D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44"/>
    <w:rsid w:val="00010008"/>
    <w:rsid w:val="000B35EB"/>
    <w:rsid w:val="000D042F"/>
    <w:rsid w:val="000D3DFB"/>
    <w:rsid w:val="000D3F02"/>
    <w:rsid w:val="00127EB6"/>
    <w:rsid w:val="001524DF"/>
    <w:rsid w:val="0016615D"/>
    <w:rsid w:val="00194537"/>
    <w:rsid w:val="001A5E5E"/>
    <w:rsid w:val="001C42BB"/>
    <w:rsid w:val="001F3774"/>
    <w:rsid w:val="002163DD"/>
    <w:rsid w:val="002976E4"/>
    <w:rsid w:val="002A3B14"/>
    <w:rsid w:val="002B0CB3"/>
    <w:rsid w:val="002F2CBC"/>
    <w:rsid w:val="002F62F7"/>
    <w:rsid w:val="00343C1A"/>
    <w:rsid w:val="00345254"/>
    <w:rsid w:val="003621BA"/>
    <w:rsid w:val="003658C7"/>
    <w:rsid w:val="003679B9"/>
    <w:rsid w:val="0039008F"/>
    <w:rsid w:val="003912F0"/>
    <w:rsid w:val="00391C04"/>
    <w:rsid w:val="00395AD7"/>
    <w:rsid w:val="003C2AE5"/>
    <w:rsid w:val="003E5984"/>
    <w:rsid w:val="00404D88"/>
    <w:rsid w:val="00437E70"/>
    <w:rsid w:val="004A3504"/>
    <w:rsid w:val="00555C99"/>
    <w:rsid w:val="00561F61"/>
    <w:rsid w:val="00584BF3"/>
    <w:rsid w:val="005864F1"/>
    <w:rsid w:val="005B52E1"/>
    <w:rsid w:val="005B52FB"/>
    <w:rsid w:val="005C3687"/>
    <w:rsid w:val="005C4407"/>
    <w:rsid w:val="00611392"/>
    <w:rsid w:val="006151B7"/>
    <w:rsid w:val="00625939"/>
    <w:rsid w:val="00626B70"/>
    <w:rsid w:val="00630DD9"/>
    <w:rsid w:val="006376AE"/>
    <w:rsid w:val="0065683D"/>
    <w:rsid w:val="00670191"/>
    <w:rsid w:val="0068188A"/>
    <w:rsid w:val="0068310D"/>
    <w:rsid w:val="006F4D4C"/>
    <w:rsid w:val="00720065"/>
    <w:rsid w:val="00721B82"/>
    <w:rsid w:val="00734222"/>
    <w:rsid w:val="00781136"/>
    <w:rsid w:val="007857DB"/>
    <w:rsid w:val="007E2442"/>
    <w:rsid w:val="007E5927"/>
    <w:rsid w:val="00845977"/>
    <w:rsid w:val="00883A3B"/>
    <w:rsid w:val="00893A7D"/>
    <w:rsid w:val="008941D5"/>
    <w:rsid w:val="008C769B"/>
    <w:rsid w:val="008D525A"/>
    <w:rsid w:val="008E704E"/>
    <w:rsid w:val="00974923"/>
    <w:rsid w:val="009A1296"/>
    <w:rsid w:val="009A13D1"/>
    <w:rsid w:val="009C2E21"/>
    <w:rsid w:val="009D188A"/>
    <w:rsid w:val="00A21420"/>
    <w:rsid w:val="00A36891"/>
    <w:rsid w:val="00A434CC"/>
    <w:rsid w:val="00A856DD"/>
    <w:rsid w:val="00AA3DD0"/>
    <w:rsid w:val="00AF1B68"/>
    <w:rsid w:val="00AF40E7"/>
    <w:rsid w:val="00B06485"/>
    <w:rsid w:val="00B465BB"/>
    <w:rsid w:val="00B54A33"/>
    <w:rsid w:val="00B558D8"/>
    <w:rsid w:val="00B572EF"/>
    <w:rsid w:val="00B72A21"/>
    <w:rsid w:val="00B82878"/>
    <w:rsid w:val="00B96425"/>
    <w:rsid w:val="00BB0CF1"/>
    <w:rsid w:val="00BB2917"/>
    <w:rsid w:val="00C1029F"/>
    <w:rsid w:val="00C11254"/>
    <w:rsid w:val="00C37901"/>
    <w:rsid w:val="00C438AE"/>
    <w:rsid w:val="00C52BB7"/>
    <w:rsid w:val="00C60B82"/>
    <w:rsid w:val="00CA4660"/>
    <w:rsid w:val="00CC1BF9"/>
    <w:rsid w:val="00D20E85"/>
    <w:rsid w:val="00DC7222"/>
    <w:rsid w:val="00DD4933"/>
    <w:rsid w:val="00DF40BA"/>
    <w:rsid w:val="00E138D5"/>
    <w:rsid w:val="00E145AF"/>
    <w:rsid w:val="00E2393A"/>
    <w:rsid w:val="00E379F2"/>
    <w:rsid w:val="00E656C3"/>
    <w:rsid w:val="00F31144"/>
    <w:rsid w:val="00F55F79"/>
    <w:rsid w:val="00F5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5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E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3D"/>
  </w:style>
  <w:style w:type="paragraph" w:styleId="Footer">
    <w:name w:val="footer"/>
    <w:basedOn w:val="Normal"/>
    <w:link w:val="FooterChar"/>
    <w:uiPriority w:val="99"/>
    <w:unhideWhenUsed/>
    <w:rsid w:val="0065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3D"/>
  </w:style>
  <w:style w:type="paragraph" w:styleId="ListParagraph">
    <w:name w:val="List Paragraph"/>
    <w:basedOn w:val="Normal"/>
    <w:uiPriority w:val="34"/>
    <w:qFormat/>
    <w:rsid w:val="00C5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5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E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3D"/>
  </w:style>
  <w:style w:type="paragraph" w:styleId="Footer">
    <w:name w:val="footer"/>
    <w:basedOn w:val="Normal"/>
    <w:link w:val="FooterChar"/>
    <w:uiPriority w:val="99"/>
    <w:unhideWhenUsed/>
    <w:rsid w:val="0065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3D"/>
  </w:style>
  <w:style w:type="paragraph" w:styleId="ListParagraph">
    <w:name w:val="List Paragraph"/>
    <w:basedOn w:val="Normal"/>
    <w:uiPriority w:val="34"/>
    <w:qFormat/>
    <w:rsid w:val="00C5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RMDSLI</dc:creator>
  <cp:lastModifiedBy>user3</cp:lastModifiedBy>
  <cp:revision>8</cp:revision>
  <cp:lastPrinted>2014-06-30T06:32:00Z</cp:lastPrinted>
  <dcterms:created xsi:type="dcterms:W3CDTF">2014-06-30T05:21:00Z</dcterms:created>
  <dcterms:modified xsi:type="dcterms:W3CDTF">2014-06-30T06:42:00Z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