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88" w:rsidRDefault="00EF671D" w:rsidP="00EF671D">
      <w:pPr>
        <w:tabs>
          <w:tab w:val="left" w:pos="3960"/>
          <w:tab w:val="center" w:pos="4323"/>
        </w:tabs>
        <w:ind w:right="-7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ab/>
      </w:r>
    </w:p>
    <w:p w:rsidR="00921788" w:rsidRDefault="00921788" w:rsidP="00EF671D">
      <w:pPr>
        <w:tabs>
          <w:tab w:val="left" w:pos="3960"/>
          <w:tab w:val="center" w:pos="4323"/>
        </w:tabs>
        <w:ind w:right="-7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</w:p>
    <w:p w:rsidR="00921788" w:rsidRPr="00CC23CB" w:rsidRDefault="00921788" w:rsidP="00EF671D">
      <w:pPr>
        <w:tabs>
          <w:tab w:val="left" w:pos="3960"/>
          <w:tab w:val="center" w:pos="4323"/>
        </w:tabs>
        <w:ind w:right="-7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</w:p>
    <w:p w:rsidR="00923183" w:rsidRPr="00CC23CB" w:rsidRDefault="00923183" w:rsidP="00923183">
      <w:pPr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CC23CB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แนวทางการปฏิบัติงาน</w:t>
      </w:r>
    </w:p>
    <w:p w:rsidR="00923183" w:rsidRPr="00CC23CB" w:rsidRDefault="00923183" w:rsidP="00923183">
      <w:pPr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CC23CB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เรื่อง การพิจารณากำหนดวงเงินซื้อขายหลักทรัพย์ของลูกค้า</w:t>
      </w:r>
      <w:r w:rsidR="00761EC3" w:rsidRPr="00CC23CB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 </w:t>
      </w:r>
      <w:r w:rsidR="00761EC3" w:rsidRPr="00CC23CB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(ฉบับที่ </w:t>
      </w:r>
      <w:r w:rsidR="00761EC3" w:rsidRPr="00CC23CB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2</w:t>
      </w:r>
      <w:r w:rsidR="00761EC3" w:rsidRPr="00CC23CB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)</w:t>
      </w:r>
    </w:p>
    <w:p w:rsidR="00B956D4" w:rsidRPr="00CC23CB" w:rsidRDefault="00B956D4" w:rsidP="00923183">
      <w:pPr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>---------------------------------------------------------</w:t>
      </w:r>
    </w:p>
    <w:p w:rsidR="0012252D" w:rsidRPr="00CC23CB" w:rsidRDefault="00D23952" w:rsidP="0012614A">
      <w:pPr>
        <w:spacing w:before="160"/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โดยที่เห็นสมควรให้มีการทบทวน</w:t>
      </w:r>
      <w:r w:rsidR="0012252D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แนวทางการพิจารณากำหนดวงเงินซื้อขายหลักทรัพย์สำหรับบัญชี</w:t>
      </w:r>
      <w:r w:rsidR="0012252D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12252D" w:rsidRPr="00CC23CB">
        <w:rPr>
          <w:rFonts w:ascii="DilleniaUPC" w:hAnsi="DilleniaUPC" w:cs="DilleniaUPC"/>
          <w:color w:val="000000" w:themeColor="text1"/>
          <w:sz w:val="30"/>
          <w:szCs w:val="30"/>
        </w:rPr>
        <w:t>Cash Balance</w:t>
      </w:r>
      <w:r w:rsidR="0012252D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เพื่อให้สอดคล้องกับการพัฒนาของเทคโนโลยีที่ใช้ในการให้บริการลูกค้า และเพื่อให้เกิดความคล่องตัวในการประกอบธุรกิจ </w:t>
      </w:r>
    </w:p>
    <w:p w:rsidR="0012252D" w:rsidRPr="00CC23CB" w:rsidRDefault="0012252D" w:rsidP="00CC23CB">
      <w:pPr>
        <w:spacing w:before="160"/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โดยอาศัยอำนาจตาม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ประกาศคณะกรรมการกำกับตลาดทุน ที่ ทธ.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</w:rPr>
        <w:t>35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/</w:t>
      </w:r>
      <w:r w:rsidRPr="00CC23CB">
        <w:rPr>
          <w:rFonts w:ascii="DilleniaUPC" w:hAnsi="DilleniaUPC" w:cs="DilleniaUPC"/>
          <w:color w:val="000000" w:themeColor="text1"/>
          <w:sz w:val="30"/>
          <w:szCs w:val="30"/>
        </w:rPr>
        <w:t xml:space="preserve">2556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</w:t>
      </w: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และการให้บริการของผู้ประกอบธุรกิจหลักทรัพย์และผู้ประกอบธุรกิจสัญญาซื้อขายล่วงหน้า ข้อ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</w:rPr>
        <w:t>9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โดยความเห็นชอบ</w:t>
      </w: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จากสำนักงานคณะกรรมการกำกับหลักทรัพย์และตลาดหลักทรัพย์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สมาคมบริษัทหลักทรัพย์ไทย</w:t>
      </w: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C23CB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จึงกำหนดแนวทางการปฏิบัติงาน เรื่อง</w:t>
      </w:r>
      <w:r w:rsidR="00CC23CB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C23CB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การพิจารณากำหนดวงเงินซื้อขายหลักทรัพย์ของลูกค้า เพื่อให้สมาชิกสมาคมถือปฏิบัติ</w:t>
      </w:r>
      <w:r w:rsidR="00CC23CB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C23CB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ดังนี้</w:t>
      </w:r>
    </w:p>
    <w:p w:rsidR="00923183" w:rsidRPr="00CC23CB" w:rsidRDefault="0012252D" w:rsidP="00CC23CB">
      <w:pPr>
        <w:spacing w:before="160"/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5571B8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1</w:t>
      </w:r>
      <w:r w:rsidR="00E94235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.</w:t>
      </w:r>
      <w:r w:rsidR="005571B8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E94235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ให้ยกเลิก</w:t>
      </w:r>
      <w:r w:rsidR="00D23952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ความในข้อ </w:t>
      </w:r>
      <w:r w:rsidR="00D23952" w:rsidRPr="00CC23CB">
        <w:rPr>
          <w:rFonts w:ascii="DilleniaUPC" w:hAnsi="DilleniaUPC" w:cs="DilleniaUPC"/>
          <w:color w:val="000000" w:themeColor="text1"/>
          <w:sz w:val="30"/>
          <w:szCs w:val="30"/>
        </w:rPr>
        <w:t>4</w:t>
      </w:r>
      <w:r w:rsidR="00D23952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.</w:t>
      </w:r>
      <w:r w:rsidR="00D23952" w:rsidRPr="00CC23CB">
        <w:rPr>
          <w:rFonts w:ascii="DilleniaUPC" w:hAnsi="DilleniaUPC" w:cs="DilleniaUPC"/>
          <w:color w:val="000000" w:themeColor="text1"/>
          <w:sz w:val="30"/>
          <w:szCs w:val="30"/>
        </w:rPr>
        <w:t xml:space="preserve">3 </w:t>
      </w:r>
      <w:r w:rsidR="00D23952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แห่ง</w:t>
      </w:r>
      <w:r w:rsidR="00E94235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แนวทาง</w:t>
      </w:r>
      <w:r w:rsidR="00D23952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</w:t>
      </w:r>
      <w:r w:rsidR="00E94235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ปฏิบัติ</w:t>
      </w:r>
      <w:r w:rsidR="0081184D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งานของบริษัทหลักทรัพย์</w:t>
      </w:r>
      <w:r w:rsidR="00D23952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ไทย เรื่อง การพิจารณากำหนดวงเงินซื้อขายหลักทรัพย์ของลูกค้า</w:t>
      </w:r>
      <w:r w:rsidR="00D23952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ฉบับลงวันที่ </w:t>
      </w:r>
      <w:r w:rsidR="00CC23CB">
        <w:rPr>
          <w:rFonts w:ascii="DilleniaUPC" w:hAnsi="DilleniaUPC" w:cs="DilleniaUPC"/>
          <w:color w:val="000000" w:themeColor="text1"/>
          <w:sz w:val="30"/>
          <w:szCs w:val="30"/>
        </w:rPr>
        <w:t>5</w:t>
      </w:r>
      <w:r w:rsidR="00547B4D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กุม</w:t>
      </w:r>
      <w:r w:rsid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ภาพันธ์ </w:t>
      </w:r>
      <w:r w:rsidR="00CC23CB">
        <w:rPr>
          <w:rFonts w:ascii="DilleniaUPC" w:hAnsi="DilleniaUPC" w:cs="DilleniaUPC"/>
          <w:color w:val="000000" w:themeColor="text1"/>
          <w:sz w:val="30"/>
          <w:szCs w:val="30"/>
        </w:rPr>
        <w:t xml:space="preserve">2557 </w:t>
      </w:r>
      <w:r w:rsidR="00D23952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และให้ใช้ความดังต่อไปนี้แทน</w:t>
      </w:r>
    </w:p>
    <w:p w:rsidR="00906A2B" w:rsidRPr="00CC23CB" w:rsidRDefault="00906A2B" w:rsidP="00CC23CB">
      <w:pPr>
        <w:spacing w:before="160"/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4.3 </w:t>
      </w: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กรณีบัญชี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</w:rPr>
        <w:t xml:space="preserve">Cash Balance </w:t>
      </w:r>
    </w:p>
    <w:p w:rsidR="00906A2B" w:rsidRPr="00CC23CB" w:rsidRDefault="00906A2B" w:rsidP="00906A2B">
      <w:pPr>
        <w:ind w:firstLine="720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ลูกค้าที่เปิดบัญชี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Cash Balance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ควรพิจารณาให้วงเงินในการซื้อขายไม่เกินเงินสดหรือเงินค่าขายหลักทรัพย์ที่วางเป็นหลักประกันในการชำระราค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ซึ่งในกรณีนี้บริษัทควรนำข้อมูลจากการทำการรู้จักลูกค้าและตรวจสอบเพื่อทราบข้อเท็จจริงเกี่ยวกับ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KYC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มาพิจารณากำหนดเกณฑ์จำนวนเงินรับโอนสำหรับลูกค้าแต่ละรายหรือแต่ละกลุ่ม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906A2B" w:rsidRPr="00CC23CB" w:rsidRDefault="00906A2B" w:rsidP="00906A2B">
      <w:pPr>
        <w:ind w:firstLine="720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78BC">
        <w:rPr>
          <w:rFonts w:ascii="DilleniaUPC" w:eastAsia="Calibri" w:hAnsi="DilleniaUPC" w:cs="DilleniaUPC" w:hint="cs"/>
          <w:color w:val="000000" w:themeColor="text1"/>
          <w:spacing w:val="-6"/>
          <w:sz w:val="30"/>
          <w:szCs w:val="30"/>
          <w:cs/>
          <w:lang w:eastAsia="en-US"/>
        </w:rPr>
        <w:t>ในกรณีที่ลูกค้าไม่ได้แสดงเอกสารเกี่ยวกับฐานะการเงินของลูกค้า</w:t>
      </w:r>
      <w:r w:rsidRPr="00CC78BC">
        <w:rPr>
          <w:rFonts w:ascii="DilleniaUPC" w:eastAsia="Calibri" w:hAnsi="DilleniaUPC" w:cs="DilleniaUPC"/>
          <w:color w:val="000000" w:themeColor="text1"/>
          <w:spacing w:val="-6"/>
          <w:sz w:val="30"/>
          <w:szCs w:val="30"/>
          <w:cs/>
          <w:lang w:eastAsia="en-US"/>
        </w:rPr>
        <w:t xml:space="preserve"> </w:t>
      </w:r>
      <w:r w:rsidRPr="00CC78BC">
        <w:rPr>
          <w:rFonts w:ascii="DilleniaUPC" w:eastAsia="Calibri" w:hAnsi="DilleniaUPC" w:cs="DilleniaUPC" w:hint="cs"/>
          <w:color w:val="000000" w:themeColor="text1"/>
          <w:spacing w:val="-6"/>
          <w:sz w:val="30"/>
          <w:szCs w:val="30"/>
          <w:cs/>
          <w:lang w:eastAsia="en-US"/>
        </w:rPr>
        <w:t>เกณฑ์จำนวนเงินดังกล่าวไม่ควรเกิน</w:t>
      </w:r>
      <w:r w:rsidRPr="00CC78BC">
        <w:rPr>
          <w:rFonts w:ascii="DilleniaUPC" w:eastAsia="Calibri" w:hAnsi="DilleniaUPC" w:cs="DilleniaUPC"/>
          <w:color w:val="000000" w:themeColor="text1"/>
          <w:spacing w:val="-6"/>
          <w:sz w:val="30"/>
          <w:szCs w:val="30"/>
          <w:cs/>
          <w:lang w:eastAsia="en-US"/>
        </w:rPr>
        <w:t xml:space="preserve"> 500,000 </w:t>
      </w:r>
      <w:r w:rsidRPr="00CC78BC">
        <w:rPr>
          <w:rFonts w:ascii="DilleniaUPC" w:eastAsia="Calibri" w:hAnsi="DilleniaUPC" w:cs="DilleniaUPC" w:hint="cs"/>
          <w:color w:val="000000" w:themeColor="text1"/>
          <w:spacing w:val="-6"/>
          <w:sz w:val="30"/>
          <w:szCs w:val="30"/>
          <w:cs/>
          <w:lang w:eastAsia="en-US"/>
        </w:rPr>
        <w:t>บาท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อย่างไรก็ตาม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หากสมาชิกมีกระบวนการหรือขั้นตอนในการพิจารณาปัจจัยเชิงคุณภาพด้านอื่นประกอบการพิจารณาเพิ่มเติม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อาทิ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อาชีพ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ตำแหน่งงาน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รายได้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แหล่งที่มาของรายได้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สถานที่ทำงาน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อายุ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เป็นต้น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โดยข้อมูลที่นำมาพิจารณามาจากแหล่งที่เชื่อถือได้และมีความสมเหตุสมผล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และพิจารณาจากข้อมูลหลายปัจจัยร่วมกัน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สมาชิกอาจพิจารณากำหนดเกณฑ์จำนวนเงินรับโอนเพิ่มได้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แต่ทั้งนี้เกณฑ์จำนวนเงินรับโอนภายหลังการพิจารณาปัจจัยเชิงคุณภาพเพิ่มเติม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ไม่ควรเกิน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1,000,000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บาท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906A2B" w:rsidRPr="00CC23CB" w:rsidRDefault="00906A2B" w:rsidP="00906A2B">
      <w:pPr>
        <w:ind w:firstLine="720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ลูกค้ามีการโอนเงินเข้ามาหรือยอดเงินโอนสะสมสูงกว่าเกณฑ์จำนวนเงินนั้นบ่อยครั้งหรืออย่างมีนัยสำคัญ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ทางบริษัทจะต้องดำเนินการทบทวนการรู้จักลูกค้าและตรวจสอบเพื่อทราบข้อเท็จจริงเกี่ยวกับลูกค้า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KYC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รวมทั้งทบทวนฐานะการเงินของลูกค้า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หากพบว่าข้อมูลในการรู้จักลูกค้าและตรวจสอบเพื่อทราบข้อเท็จจริงเกี่ยวกับลูกค้า</w:t>
      </w:r>
      <w:r w:rsidR="00D124F1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br/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ไม่เพียงพอเมื่อเทียบกับจำนวนเงินที่โอนเข้ามา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ให้ดำเนินการกระบวนการรู้จักลูกค้าและตรวจสอบเพื่อทราบข้อเท็จจริงเกี่ยวกับลูกค้าเพิ่มเติม</w:t>
      </w:r>
    </w:p>
    <w:p w:rsidR="00CC23CB" w:rsidRPr="00EF671D" w:rsidRDefault="00CC23CB" w:rsidP="00906A2B">
      <w:pPr>
        <w:ind w:firstLine="720"/>
        <w:jc w:val="thaiDistribute"/>
        <w:rPr>
          <w:rFonts w:ascii="DilleniaUPC" w:eastAsia="Calibri" w:hAnsi="DilleniaUPC" w:cs="DilleniaUPC"/>
          <w:color w:val="000000" w:themeColor="text1"/>
          <w:sz w:val="36"/>
          <w:szCs w:val="36"/>
          <w:lang w:eastAsia="en-US"/>
        </w:rPr>
      </w:pPr>
    </w:p>
    <w:p w:rsidR="00906A2B" w:rsidRPr="00CC23CB" w:rsidRDefault="00906A2B" w:rsidP="00906A2B">
      <w:pPr>
        <w:ind w:firstLine="720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lastRenderedPageBreak/>
        <w:t>โดยการทบทวนฐานะการเงินของลูกค้าควรมีเอกสารหลักฐานสนับสนุนการทบทวนทำนองเดียวกับการพิจารณาความสามารถในการชำระหนี้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กรณีลูกค้าปัจจุบันของบริษัทอาจใช้ข้อมูลมูลค่าทรัพย์สินที่มีอยู่กับบริษัทสุทธิ</w:t>
      </w:r>
      <w:r w:rsidR="00D124F1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br/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ที่ปลอดภาระผูกพันเป็นแนวทางในการกำหนดเกณฑ์จำนวนเงิน</w:t>
      </w:r>
    </w:p>
    <w:p w:rsidR="00923183" w:rsidRPr="00CC23CB" w:rsidRDefault="00906A2B" w:rsidP="00906A2B">
      <w:pPr>
        <w:ind w:firstLine="720"/>
        <w:jc w:val="thaiDistribute"/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อนึ่ง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สมาชิกควรวิเคราะห์และกำหนดขนาดวงเงินซื้อขายหลักทรัพย์ของลูกค้าโดยพิจารณาถึงตัวตนของลูกค้า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พฤติกรรมที่อาจบ่งชี้ถึงการเป็น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Nominee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ของบุคคลอื่นด้วย</w:t>
      </w:r>
      <w:r w:rsidR="00CC23CB"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”</w:t>
      </w:r>
    </w:p>
    <w:p w:rsidR="00E94235" w:rsidRPr="00705DEC" w:rsidRDefault="00E94235" w:rsidP="00F84669">
      <w:pPr>
        <w:spacing w:before="160"/>
        <w:ind w:right="-85" w:firstLine="720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แนวทางการปฏิบัติงานนี้</w:t>
      </w:r>
      <w:r w:rsidR="009838EF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มี</w:t>
      </w:r>
      <w:r w:rsidR="009838EF" w:rsidRPr="00705DEC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ผลบังคับตั้งแต่วันที่ </w:t>
      </w:r>
      <w:r w:rsidR="00B4410E">
        <w:rPr>
          <w:rFonts w:ascii="DilleniaUPC" w:hAnsi="DilleniaUPC" w:cs="DilleniaUPC"/>
          <w:color w:val="000000" w:themeColor="text1"/>
          <w:sz w:val="30"/>
          <w:szCs w:val="30"/>
        </w:rPr>
        <w:t>18</w:t>
      </w:r>
      <w:r w:rsidR="00DE7C14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DE7C1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กุมภาพันธ์</w:t>
      </w:r>
      <w:r w:rsidR="00DE7C14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DE7C14" w:rsidRPr="00705DEC">
        <w:rPr>
          <w:rFonts w:ascii="DilleniaUPC" w:hAnsi="DilleniaUPC" w:cs="DilleniaUPC"/>
          <w:color w:val="000000" w:themeColor="text1"/>
          <w:sz w:val="30"/>
          <w:szCs w:val="30"/>
        </w:rPr>
        <w:t>256</w:t>
      </w:r>
      <w:r w:rsidR="00DE7C14">
        <w:rPr>
          <w:rFonts w:ascii="DilleniaUPC" w:hAnsi="DilleniaUPC" w:cs="DilleniaUPC"/>
          <w:color w:val="000000" w:themeColor="text1"/>
          <w:sz w:val="30"/>
          <w:szCs w:val="30"/>
        </w:rPr>
        <w:t>4</w:t>
      </w:r>
      <w:r w:rsidR="00DE7C1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705DEC">
        <w:rPr>
          <w:rFonts w:ascii="DilleniaUPC" w:hAnsi="DilleniaUPC" w:cs="DilleniaUPC"/>
          <w:color w:val="000000" w:themeColor="text1"/>
          <w:sz w:val="30"/>
          <w:szCs w:val="30"/>
          <w:cs/>
        </w:rPr>
        <w:t>เป็นต้นไป</w:t>
      </w:r>
    </w:p>
    <w:p w:rsidR="00E94235" w:rsidRPr="00705DEC" w:rsidRDefault="00E94235" w:rsidP="00E94235">
      <w:pPr>
        <w:tabs>
          <w:tab w:val="left" w:pos="1080"/>
        </w:tabs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:rsidR="00E94235" w:rsidRPr="00CC23CB" w:rsidRDefault="00E94235" w:rsidP="00E37D7D">
      <w:pPr>
        <w:pStyle w:val="BodyText"/>
        <w:tabs>
          <w:tab w:val="left" w:pos="567"/>
          <w:tab w:val="left" w:pos="1276"/>
          <w:tab w:val="center" w:pos="5812"/>
        </w:tabs>
        <w:spacing w:after="0"/>
        <w:ind w:right="-653"/>
        <w:rPr>
          <w:rFonts w:ascii="DilleniaUPC" w:hAnsi="DilleniaUPC" w:cs="DilleniaUPC"/>
          <w:color w:val="000000" w:themeColor="text1"/>
          <w:sz w:val="30"/>
          <w:szCs w:val="30"/>
        </w:rPr>
      </w:pPr>
      <w:r w:rsidRPr="00705DEC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E37D7D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ab/>
      </w:r>
      <w:r w:rsidR="00F84669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ab/>
      </w:r>
      <w:r w:rsidRPr="00705DEC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ประกาศ ณ วันที่ </w:t>
      </w:r>
      <w:r w:rsidR="00B4410E">
        <w:rPr>
          <w:rFonts w:ascii="DilleniaUPC" w:hAnsi="DilleniaUPC" w:cs="DilleniaUPC"/>
          <w:color w:val="000000" w:themeColor="text1"/>
          <w:sz w:val="30"/>
          <w:szCs w:val="30"/>
        </w:rPr>
        <w:t>18</w:t>
      </w:r>
      <w:r w:rsidR="00DB5513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DE7C1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กุมภาพันธ์</w:t>
      </w:r>
      <w:r w:rsidR="00417CF2" w:rsidRPr="00705DEC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392CB3" w:rsidRPr="00705DEC">
        <w:rPr>
          <w:rFonts w:ascii="DilleniaUPC" w:hAnsi="DilleniaUPC" w:cs="DilleniaUPC"/>
          <w:color w:val="000000" w:themeColor="text1"/>
          <w:sz w:val="30"/>
          <w:szCs w:val="30"/>
        </w:rPr>
        <w:t>256</w:t>
      </w:r>
      <w:r w:rsidR="00DE7C14">
        <w:rPr>
          <w:rFonts w:ascii="DilleniaUPC" w:hAnsi="DilleniaUPC" w:cs="DilleniaUPC"/>
          <w:color w:val="000000" w:themeColor="text1"/>
          <w:sz w:val="30"/>
          <w:szCs w:val="30"/>
        </w:rPr>
        <w:t>4</w:t>
      </w:r>
    </w:p>
    <w:p w:rsidR="00E94235" w:rsidRPr="00CC23CB" w:rsidRDefault="00E94235" w:rsidP="00E94235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</w:p>
    <w:p w:rsidR="00E94235" w:rsidRPr="00CC23CB" w:rsidRDefault="00E94235" w:rsidP="00E94235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color w:val="000000" w:themeColor="text1"/>
          <w:sz w:val="30"/>
          <w:szCs w:val="30"/>
          <w:lang w:eastAsia="ja-JP"/>
        </w:rPr>
      </w:pPr>
    </w:p>
    <w:p w:rsidR="00E94235" w:rsidRPr="00CC23CB" w:rsidRDefault="00E94235" w:rsidP="00E94235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</w:pPr>
    </w:p>
    <w:p w:rsidR="00E94235" w:rsidRPr="00CC23CB" w:rsidRDefault="00E94235" w:rsidP="00E94235">
      <w:pPr>
        <w:tabs>
          <w:tab w:val="center" w:pos="5812"/>
        </w:tabs>
        <w:jc w:val="both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>(</w:t>
      </w:r>
      <w:r w:rsidR="00392CB3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นายพิเชษฐ</w:t>
      </w:r>
      <w:r w:rsidR="00392CB3"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392CB3"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สิทธิอำนวย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:rsidR="00E94235" w:rsidRPr="00CC23CB" w:rsidRDefault="00E94235" w:rsidP="00E94235">
      <w:pPr>
        <w:pStyle w:val="BodyText"/>
        <w:tabs>
          <w:tab w:val="left" w:pos="567"/>
          <w:tab w:val="center" w:pos="5812"/>
        </w:tabs>
        <w:spacing w:after="0" w:line="340" w:lineRule="exact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    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CC23CB"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  <w:t>นายกสมาคม</w:t>
      </w:r>
    </w:p>
    <w:sectPr w:rsidR="00E94235" w:rsidRPr="00CC23CB" w:rsidSect="00921788">
      <w:headerReference w:type="default" r:id="rId8"/>
      <w:footerReference w:type="default" r:id="rId9"/>
      <w:pgSz w:w="11906" w:h="16838"/>
      <w:pgMar w:top="1134" w:right="1469" w:bottom="1418" w:left="1797" w:header="720" w:footer="44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FE" w:rsidRDefault="007827FE" w:rsidP="00A87D06">
      <w:r>
        <w:separator/>
      </w:r>
    </w:p>
  </w:endnote>
  <w:endnote w:type="continuationSeparator" w:id="0">
    <w:p w:rsidR="007827FE" w:rsidRDefault="007827FE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8A" w:rsidRPr="00CC23CB" w:rsidRDefault="00E87C51" w:rsidP="0047748A">
    <w:pPr>
      <w:pStyle w:val="Footer"/>
      <w:ind w:right="-483"/>
      <w:jc w:val="right"/>
      <w:rPr>
        <w:rFonts w:ascii="DilleniaUPC" w:hAnsi="DilleniaUPC" w:cs="DilleniaUPC"/>
        <w:b/>
        <w:bCs/>
        <w:sz w:val="22"/>
        <w:szCs w:val="22"/>
      </w:rPr>
    </w:pPr>
    <w:r w:rsidRPr="00CC23CB">
      <w:rPr>
        <w:rFonts w:ascii="DilleniaUPC" w:hAnsi="DilleniaUPC" w:cs="DilleniaUPC"/>
        <w:b/>
        <w:bCs/>
        <w:sz w:val="22"/>
        <w:szCs w:val="22"/>
        <w:cs/>
      </w:rPr>
      <w:t>การ</w:t>
    </w:r>
    <w:r w:rsidR="00AE1A64" w:rsidRPr="00CC23CB">
      <w:rPr>
        <w:rFonts w:ascii="DilleniaUPC" w:hAnsi="DilleniaUPC" w:cs="DilleniaUPC"/>
        <w:b/>
        <w:bCs/>
        <w:sz w:val="22"/>
        <w:szCs w:val="22"/>
        <w:cs/>
      </w:rPr>
      <w:t>พิจารณากำหนดวงเงิน</w:t>
    </w:r>
    <w:r w:rsidRPr="00CC23CB">
      <w:rPr>
        <w:rFonts w:ascii="DilleniaUPC" w:hAnsi="DilleniaUPC" w:cs="DilleniaUPC"/>
        <w:b/>
        <w:bCs/>
        <w:sz w:val="22"/>
        <w:szCs w:val="22"/>
        <w:cs/>
      </w:rPr>
      <w:t>ซื้อขายหลักทรัพย์</w:t>
    </w:r>
    <w:r w:rsidR="005953A8" w:rsidRPr="00CC23CB">
      <w:rPr>
        <w:rFonts w:ascii="DilleniaUPC" w:hAnsi="DilleniaUPC" w:cs="DilleniaUPC"/>
        <w:b/>
        <w:bCs/>
        <w:sz w:val="22"/>
        <w:szCs w:val="22"/>
        <w:cs/>
      </w:rPr>
      <w:t>ของลูกค้า</w:t>
    </w:r>
  </w:p>
  <w:p w:rsidR="0047748A" w:rsidRDefault="0047748A" w:rsidP="0047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FE" w:rsidRDefault="007827FE" w:rsidP="00A87D06">
      <w:r>
        <w:separator/>
      </w:r>
    </w:p>
  </w:footnote>
  <w:footnote w:type="continuationSeparator" w:id="0">
    <w:p w:rsidR="007827FE" w:rsidRDefault="007827FE" w:rsidP="00A8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CF" w:rsidRPr="009164CF" w:rsidRDefault="009164CF" w:rsidP="009164CF">
    <w:pPr>
      <w:pStyle w:val="Header"/>
      <w:jc w:val="center"/>
      <w:rPr>
        <w:rFonts w:ascii="DilleniaUPC" w:hAnsi="DilleniaUPC" w:cs="DilleniaUPC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A91CD7"/>
    <w:multiLevelType w:val="hybridMultilevel"/>
    <w:tmpl w:val="146023C6"/>
    <w:lvl w:ilvl="0" w:tplc="B5309C5E">
      <w:start w:val="1"/>
      <w:numFmt w:val="thaiLetters"/>
      <w:lvlText w:val="(%1)"/>
      <w:lvlJc w:val="left"/>
      <w:pPr>
        <w:ind w:left="1964" w:hanging="360"/>
      </w:pPr>
      <w:rPr>
        <w:rFonts w:cs="Cordia New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84" w:hanging="360"/>
      </w:pPr>
    </w:lvl>
    <w:lvl w:ilvl="2" w:tplc="0409001B" w:tentative="1">
      <w:start w:val="1"/>
      <w:numFmt w:val="lowerRoman"/>
      <w:lvlText w:val="%3."/>
      <w:lvlJc w:val="right"/>
      <w:pPr>
        <w:ind w:left="3404" w:hanging="180"/>
      </w:pPr>
    </w:lvl>
    <w:lvl w:ilvl="3" w:tplc="0409000F" w:tentative="1">
      <w:start w:val="1"/>
      <w:numFmt w:val="decimal"/>
      <w:lvlText w:val="%4."/>
      <w:lvlJc w:val="left"/>
      <w:pPr>
        <w:ind w:left="4124" w:hanging="360"/>
      </w:pPr>
    </w:lvl>
    <w:lvl w:ilvl="4" w:tplc="04090019" w:tentative="1">
      <w:start w:val="1"/>
      <w:numFmt w:val="lowerLetter"/>
      <w:lvlText w:val="%5."/>
      <w:lvlJc w:val="left"/>
      <w:pPr>
        <w:ind w:left="4844" w:hanging="360"/>
      </w:pPr>
    </w:lvl>
    <w:lvl w:ilvl="5" w:tplc="0409001B" w:tentative="1">
      <w:start w:val="1"/>
      <w:numFmt w:val="lowerRoman"/>
      <w:lvlText w:val="%6."/>
      <w:lvlJc w:val="right"/>
      <w:pPr>
        <w:ind w:left="5564" w:hanging="180"/>
      </w:pPr>
    </w:lvl>
    <w:lvl w:ilvl="6" w:tplc="0409000F" w:tentative="1">
      <w:start w:val="1"/>
      <w:numFmt w:val="decimal"/>
      <w:lvlText w:val="%7."/>
      <w:lvlJc w:val="left"/>
      <w:pPr>
        <w:ind w:left="6284" w:hanging="360"/>
      </w:pPr>
    </w:lvl>
    <w:lvl w:ilvl="7" w:tplc="04090019" w:tentative="1">
      <w:start w:val="1"/>
      <w:numFmt w:val="lowerLetter"/>
      <w:lvlText w:val="%8."/>
      <w:lvlJc w:val="left"/>
      <w:pPr>
        <w:ind w:left="7004" w:hanging="360"/>
      </w:pPr>
    </w:lvl>
    <w:lvl w:ilvl="8" w:tplc="040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5E8"/>
    <w:rsid w:val="000040E3"/>
    <w:rsid w:val="00027B44"/>
    <w:rsid w:val="0003621D"/>
    <w:rsid w:val="000363B8"/>
    <w:rsid w:val="00055DD2"/>
    <w:rsid w:val="00060532"/>
    <w:rsid w:val="00061564"/>
    <w:rsid w:val="0009305C"/>
    <w:rsid w:val="00095712"/>
    <w:rsid w:val="000A51D0"/>
    <w:rsid w:val="000F778A"/>
    <w:rsid w:val="000F78FE"/>
    <w:rsid w:val="00101C43"/>
    <w:rsid w:val="0011539E"/>
    <w:rsid w:val="0012252D"/>
    <w:rsid w:val="00125CBF"/>
    <w:rsid w:val="0012614A"/>
    <w:rsid w:val="001429BF"/>
    <w:rsid w:val="001669FB"/>
    <w:rsid w:val="0017238C"/>
    <w:rsid w:val="00177202"/>
    <w:rsid w:val="00190955"/>
    <w:rsid w:val="001A6D1A"/>
    <w:rsid w:val="001B59C2"/>
    <w:rsid w:val="001B7E14"/>
    <w:rsid w:val="001C19A0"/>
    <w:rsid w:val="001C4151"/>
    <w:rsid w:val="001D31C4"/>
    <w:rsid w:val="001D34EA"/>
    <w:rsid w:val="001E0341"/>
    <w:rsid w:val="001E0792"/>
    <w:rsid w:val="001E75B6"/>
    <w:rsid w:val="0020778A"/>
    <w:rsid w:val="0023364A"/>
    <w:rsid w:val="00236194"/>
    <w:rsid w:val="0024206C"/>
    <w:rsid w:val="00260327"/>
    <w:rsid w:val="002659D4"/>
    <w:rsid w:val="00287093"/>
    <w:rsid w:val="002D3CE3"/>
    <w:rsid w:val="002E1A87"/>
    <w:rsid w:val="002F1ADB"/>
    <w:rsid w:val="002F1FB1"/>
    <w:rsid w:val="002F7957"/>
    <w:rsid w:val="00302175"/>
    <w:rsid w:val="00303E7D"/>
    <w:rsid w:val="00315EDF"/>
    <w:rsid w:val="00317693"/>
    <w:rsid w:val="003303AE"/>
    <w:rsid w:val="003337CB"/>
    <w:rsid w:val="003467AE"/>
    <w:rsid w:val="00356B61"/>
    <w:rsid w:val="00357DA9"/>
    <w:rsid w:val="00361FA6"/>
    <w:rsid w:val="00366D91"/>
    <w:rsid w:val="00386C64"/>
    <w:rsid w:val="00392CB3"/>
    <w:rsid w:val="003935FA"/>
    <w:rsid w:val="003B0254"/>
    <w:rsid w:val="003C5530"/>
    <w:rsid w:val="003C5BEC"/>
    <w:rsid w:val="003C5F74"/>
    <w:rsid w:val="003C66D3"/>
    <w:rsid w:val="00417CF2"/>
    <w:rsid w:val="00420AAC"/>
    <w:rsid w:val="00426157"/>
    <w:rsid w:val="004306CB"/>
    <w:rsid w:val="00431AAE"/>
    <w:rsid w:val="0044658A"/>
    <w:rsid w:val="00453DBC"/>
    <w:rsid w:val="004613DE"/>
    <w:rsid w:val="0046755F"/>
    <w:rsid w:val="0047748A"/>
    <w:rsid w:val="00482A39"/>
    <w:rsid w:val="004846CB"/>
    <w:rsid w:val="00493EB2"/>
    <w:rsid w:val="00494691"/>
    <w:rsid w:val="004B4D53"/>
    <w:rsid w:val="004C4357"/>
    <w:rsid w:val="004D4241"/>
    <w:rsid w:val="004D4BAF"/>
    <w:rsid w:val="004E2D53"/>
    <w:rsid w:val="004F6C07"/>
    <w:rsid w:val="005175CD"/>
    <w:rsid w:val="00546830"/>
    <w:rsid w:val="00547B4D"/>
    <w:rsid w:val="00550282"/>
    <w:rsid w:val="005571B8"/>
    <w:rsid w:val="00574649"/>
    <w:rsid w:val="00581080"/>
    <w:rsid w:val="005858A4"/>
    <w:rsid w:val="005901B7"/>
    <w:rsid w:val="005953A8"/>
    <w:rsid w:val="005B761A"/>
    <w:rsid w:val="00607C48"/>
    <w:rsid w:val="006133AF"/>
    <w:rsid w:val="00631E8B"/>
    <w:rsid w:val="006327FC"/>
    <w:rsid w:val="00643429"/>
    <w:rsid w:val="00663162"/>
    <w:rsid w:val="006661F1"/>
    <w:rsid w:val="00673600"/>
    <w:rsid w:val="0068507E"/>
    <w:rsid w:val="006913EB"/>
    <w:rsid w:val="006A42E3"/>
    <w:rsid w:val="006A69E2"/>
    <w:rsid w:val="006B203F"/>
    <w:rsid w:val="006B352C"/>
    <w:rsid w:val="006C762D"/>
    <w:rsid w:val="006D7555"/>
    <w:rsid w:val="006E3885"/>
    <w:rsid w:val="006E66B7"/>
    <w:rsid w:val="006F7B9B"/>
    <w:rsid w:val="00705DEC"/>
    <w:rsid w:val="0071174C"/>
    <w:rsid w:val="00712F66"/>
    <w:rsid w:val="00714269"/>
    <w:rsid w:val="00751BE8"/>
    <w:rsid w:val="00761EC3"/>
    <w:rsid w:val="00762395"/>
    <w:rsid w:val="00765461"/>
    <w:rsid w:val="0077198A"/>
    <w:rsid w:val="00772FC8"/>
    <w:rsid w:val="00780B66"/>
    <w:rsid w:val="007827FE"/>
    <w:rsid w:val="007855B2"/>
    <w:rsid w:val="00793850"/>
    <w:rsid w:val="007A4100"/>
    <w:rsid w:val="007A5B52"/>
    <w:rsid w:val="007C22C3"/>
    <w:rsid w:val="007C2ED0"/>
    <w:rsid w:val="007F7E56"/>
    <w:rsid w:val="008067C7"/>
    <w:rsid w:val="0080750D"/>
    <w:rsid w:val="0081184D"/>
    <w:rsid w:val="008317B3"/>
    <w:rsid w:val="008353E3"/>
    <w:rsid w:val="0083624C"/>
    <w:rsid w:val="0083654A"/>
    <w:rsid w:val="008521FE"/>
    <w:rsid w:val="008533E5"/>
    <w:rsid w:val="0087205E"/>
    <w:rsid w:val="008908A1"/>
    <w:rsid w:val="0089719D"/>
    <w:rsid w:val="008B2081"/>
    <w:rsid w:val="008B6B0D"/>
    <w:rsid w:val="008D2194"/>
    <w:rsid w:val="008D56A1"/>
    <w:rsid w:val="008F3DC4"/>
    <w:rsid w:val="00906A2B"/>
    <w:rsid w:val="00907FE7"/>
    <w:rsid w:val="009164CF"/>
    <w:rsid w:val="00921788"/>
    <w:rsid w:val="00923183"/>
    <w:rsid w:val="00927C32"/>
    <w:rsid w:val="00930409"/>
    <w:rsid w:val="00935813"/>
    <w:rsid w:val="00956915"/>
    <w:rsid w:val="00957E5E"/>
    <w:rsid w:val="00971E21"/>
    <w:rsid w:val="009838EF"/>
    <w:rsid w:val="009852EE"/>
    <w:rsid w:val="00986891"/>
    <w:rsid w:val="009B2ABE"/>
    <w:rsid w:val="009B47FA"/>
    <w:rsid w:val="009C119C"/>
    <w:rsid w:val="009D08C0"/>
    <w:rsid w:val="009E1D93"/>
    <w:rsid w:val="009F3112"/>
    <w:rsid w:val="009F6832"/>
    <w:rsid w:val="009F696D"/>
    <w:rsid w:val="00A07D33"/>
    <w:rsid w:val="00A10FF9"/>
    <w:rsid w:val="00A12389"/>
    <w:rsid w:val="00A35B5E"/>
    <w:rsid w:val="00A3728C"/>
    <w:rsid w:val="00A47AB8"/>
    <w:rsid w:val="00A55A04"/>
    <w:rsid w:val="00A55D6F"/>
    <w:rsid w:val="00A72827"/>
    <w:rsid w:val="00A87D06"/>
    <w:rsid w:val="00AD5C36"/>
    <w:rsid w:val="00AD5C80"/>
    <w:rsid w:val="00AE1A64"/>
    <w:rsid w:val="00AE7138"/>
    <w:rsid w:val="00AF3106"/>
    <w:rsid w:val="00B02C2F"/>
    <w:rsid w:val="00B23A07"/>
    <w:rsid w:val="00B277B2"/>
    <w:rsid w:val="00B4410E"/>
    <w:rsid w:val="00B52990"/>
    <w:rsid w:val="00B603F4"/>
    <w:rsid w:val="00B61B2C"/>
    <w:rsid w:val="00B73430"/>
    <w:rsid w:val="00B75A2D"/>
    <w:rsid w:val="00B84073"/>
    <w:rsid w:val="00B84B18"/>
    <w:rsid w:val="00B87A56"/>
    <w:rsid w:val="00B956D4"/>
    <w:rsid w:val="00BA0459"/>
    <w:rsid w:val="00BB110F"/>
    <w:rsid w:val="00BB6ECB"/>
    <w:rsid w:val="00BB77F8"/>
    <w:rsid w:val="00BD42F3"/>
    <w:rsid w:val="00BD5EB2"/>
    <w:rsid w:val="00BE2C0C"/>
    <w:rsid w:val="00C02447"/>
    <w:rsid w:val="00C4197D"/>
    <w:rsid w:val="00C41C65"/>
    <w:rsid w:val="00C461A4"/>
    <w:rsid w:val="00C506EA"/>
    <w:rsid w:val="00C55CC1"/>
    <w:rsid w:val="00C647CA"/>
    <w:rsid w:val="00CA2355"/>
    <w:rsid w:val="00CB1EA1"/>
    <w:rsid w:val="00CB3D0A"/>
    <w:rsid w:val="00CC2347"/>
    <w:rsid w:val="00CC23CB"/>
    <w:rsid w:val="00CC78BC"/>
    <w:rsid w:val="00CD3CB8"/>
    <w:rsid w:val="00CD7239"/>
    <w:rsid w:val="00CD7B79"/>
    <w:rsid w:val="00CE4E28"/>
    <w:rsid w:val="00CF2F5C"/>
    <w:rsid w:val="00D124F1"/>
    <w:rsid w:val="00D13EDE"/>
    <w:rsid w:val="00D236F7"/>
    <w:rsid w:val="00D23952"/>
    <w:rsid w:val="00D34581"/>
    <w:rsid w:val="00D60CAE"/>
    <w:rsid w:val="00D6679A"/>
    <w:rsid w:val="00D677F0"/>
    <w:rsid w:val="00D763F9"/>
    <w:rsid w:val="00D80A4B"/>
    <w:rsid w:val="00D922CE"/>
    <w:rsid w:val="00DA29BD"/>
    <w:rsid w:val="00DB1F37"/>
    <w:rsid w:val="00DB5513"/>
    <w:rsid w:val="00DC31FE"/>
    <w:rsid w:val="00DD06CF"/>
    <w:rsid w:val="00DE7C14"/>
    <w:rsid w:val="00DF1197"/>
    <w:rsid w:val="00DF1922"/>
    <w:rsid w:val="00E14FDD"/>
    <w:rsid w:val="00E20ED9"/>
    <w:rsid w:val="00E21D1A"/>
    <w:rsid w:val="00E2440E"/>
    <w:rsid w:val="00E3774C"/>
    <w:rsid w:val="00E37D7D"/>
    <w:rsid w:val="00E45724"/>
    <w:rsid w:val="00E65B2E"/>
    <w:rsid w:val="00E65D4B"/>
    <w:rsid w:val="00E87C51"/>
    <w:rsid w:val="00E93AF3"/>
    <w:rsid w:val="00E94235"/>
    <w:rsid w:val="00EA71C5"/>
    <w:rsid w:val="00EC18C4"/>
    <w:rsid w:val="00ED51A8"/>
    <w:rsid w:val="00ED5A5A"/>
    <w:rsid w:val="00EF671D"/>
    <w:rsid w:val="00F04963"/>
    <w:rsid w:val="00F16E4A"/>
    <w:rsid w:val="00F50F4E"/>
    <w:rsid w:val="00F51A24"/>
    <w:rsid w:val="00F6149D"/>
    <w:rsid w:val="00F61595"/>
    <w:rsid w:val="00F72021"/>
    <w:rsid w:val="00F84301"/>
    <w:rsid w:val="00F84669"/>
    <w:rsid w:val="00F873B0"/>
    <w:rsid w:val="00FB4308"/>
    <w:rsid w:val="00FE3442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58CFF-196C-423E-997A-3DA69EF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customStyle="1" w:styleId="Default">
    <w:name w:val="Default"/>
    <w:rsid w:val="00923183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18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2089-BCD5-4E27-80DB-87C4B0AC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subject/>
  <dc:creator>HP</dc:creator>
  <cp:keywords/>
  <cp:lastModifiedBy>Bawornpan Ashakul</cp:lastModifiedBy>
  <cp:revision>3</cp:revision>
  <cp:lastPrinted>2020-12-15T03:49:00Z</cp:lastPrinted>
  <dcterms:created xsi:type="dcterms:W3CDTF">2021-08-04T03:23:00Z</dcterms:created>
  <dcterms:modified xsi:type="dcterms:W3CDTF">2021-08-05T06:29:00Z</dcterms:modified>
</cp:coreProperties>
</file>