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1DE20" w14:textId="1F9B5613" w:rsidR="0080061D" w:rsidRDefault="0080061D" w:rsidP="00FE393B">
      <w:pPr>
        <w:ind w:right="-766"/>
        <w:rPr>
          <w:rFonts w:ascii="DilleniaUPC" w:hAnsi="DilleniaUPC" w:cs="DilleniaUPC"/>
          <w:b/>
          <w:bCs/>
          <w:noProof/>
          <w:color w:val="000000" w:themeColor="text1"/>
          <w:sz w:val="30"/>
          <w:szCs w:val="30"/>
          <w:lang w:eastAsia="en-US"/>
        </w:rPr>
      </w:pPr>
    </w:p>
    <w:p w14:paraId="2541EAF9" w14:textId="5FA59866" w:rsidR="00032186" w:rsidRDefault="00032186" w:rsidP="00FE393B">
      <w:pPr>
        <w:ind w:right="-766"/>
        <w:rPr>
          <w:rFonts w:ascii="DilleniaUPC" w:hAnsi="DilleniaUPC" w:cs="DilleniaUPC"/>
          <w:b/>
          <w:bCs/>
          <w:noProof/>
          <w:color w:val="000000" w:themeColor="text1"/>
          <w:sz w:val="30"/>
          <w:szCs w:val="30"/>
          <w:lang w:eastAsia="en-US"/>
        </w:rPr>
      </w:pPr>
    </w:p>
    <w:p w14:paraId="6ED46262" w14:textId="77777777" w:rsidR="00032186" w:rsidRPr="002D3F71" w:rsidRDefault="00032186" w:rsidP="00FE393B">
      <w:pPr>
        <w:ind w:right="-766"/>
        <w:rPr>
          <w:rFonts w:ascii="Browallia New" w:hAnsi="Browallia New" w:cs="Browallia New" w:hint="cs"/>
          <w:b/>
          <w:bCs/>
          <w:color w:val="0070C0"/>
          <w:sz w:val="30"/>
          <w:szCs w:val="30"/>
        </w:rPr>
      </w:pPr>
      <w:bookmarkStart w:id="0" w:name="_GoBack"/>
      <w:bookmarkEnd w:id="0"/>
    </w:p>
    <w:p w14:paraId="430DC9CC" w14:textId="03CC8485" w:rsidR="003D7996" w:rsidRPr="000663C2" w:rsidRDefault="003D7996" w:rsidP="002F6A3A">
      <w:pPr>
        <w:ind w:right="-98"/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</w:rPr>
      </w:pPr>
    </w:p>
    <w:p w14:paraId="03037FCA" w14:textId="77777777" w:rsidR="000040E3" w:rsidRPr="000663C2" w:rsidRDefault="000040E3" w:rsidP="002F6A3A">
      <w:pPr>
        <w:ind w:right="-98"/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</w:rPr>
      </w:pPr>
      <w:r w:rsidRPr="000663C2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ประกาศสมาคมบริษัทหลักทรัพย์</w:t>
      </w:r>
      <w:r w:rsidR="006F7B9B" w:rsidRPr="000663C2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ไทย</w:t>
      </w:r>
    </w:p>
    <w:p w14:paraId="384A1258" w14:textId="0ACCF71F" w:rsidR="00FE764A" w:rsidRPr="000663C2" w:rsidRDefault="00FE764A" w:rsidP="002F6A3A">
      <w:pPr>
        <w:ind w:right="-98"/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</w:pPr>
      <w:r w:rsidRPr="000663C2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 xml:space="preserve">ที่ </w:t>
      </w:r>
      <w:r w:rsidR="006F1436" w:rsidRPr="000663C2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>กส</w:t>
      </w:r>
      <w:r w:rsidR="00ED7E47" w:rsidRPr="000663C2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 xml:space="preserve">. </w:t>
      </w:r>
      <w:r w:rsidR="00A815F1">
        <w:rPr>
          <w:rFonts w:ascii="DilleniaUPC" w:hAnsi="DilleniaUPC" w:cs="DilleniaUPC"/>
          <w:b/>
          <w:bCs/>
          <w:color w:val="000000" w:themeColor="text1"/>
          <w:sz w:val="36"/>
          <w:szCs w:val="36"/>
        </w:rPr>
        <w:t>1</w:t>
      </w:r>
      <w:r w:rsidRPr="000663C2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>/25</w:t>
      </w:r>
      <w:r w:rsidR="00E837D5" w:rsidRPr="000663C2">
        <w:rPr>
          <w:rFonts w:ascii="DilleniaUPC" w:hAnsi="DilleniaUPC" w:cs="DilleniaUPC" w:hint="cs"/>
          <w:b/>
          <w:bCs/>
          <w:color w:val="000000" w:themeColor="text1"/>
          <w:sz w:val="36"/>
          <w:szCs w:val="36"/>
          <w:cs/>
        </w:rPr>
        <w:t>64</w:t>
      </w:r>
    </w:p>
    <w:p w14:paraId="0CAE8906" w14:textId="77777777" w:rsidR="003C5BEC" w:rsidRPr="000663C2" w:rsidRDefault="000040E3" w:rsidP="002F6A3A">
      <w:pPr>
        <w:ind w:right="-98"/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</w:rPr>
      </w:pPr>
      <w:r w:rsidRPr="000663C2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 xml:space="preserve">เรื่อง  </w:t>
      </w:r>
      <w:r w:rsidR="003C5BEC" w:rsidRPr="000663C2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การซื้อขาย</w:t>
      </w:r>
      <w:r w:rsidR="006661F1" w:rsidRPr="000663C2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หลักทรัพย์</w:t>
      </w:r>
      <w:r w:rsidR="003C5BEC" w:rsidRPr="000663C2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ของสมาชิกหรือบริษัทที่มีส่วนเกี่ยวข้องกับสมาชิก</w:t>
      </w:r>
    </w:p>
    <w:p w14:paraId="1ECB6780" w14:textId="721B13FE" w:rsidR="000025E8" w:rsidRPr="000663C2" w:rsidRDefault="003C5BEC" w:rsidP="002F6A3A">
      <w:pPr>
        <w:ind w:right="-98"/>
        <w:jc w:val="center"/>
        <w:rPr>
          <w:rFonts w:ascii="DilleniaUPC" w:hAnsi="DilleniaUPC" w:cs="DilleniaUPC"/>
          <w:b/>
          <w:bCs/>
          <w:color w:val="000000" w:themeColor="text1"/>
          <w:sz w:val="36"/>
          <w:szCs w:val="36"/>
        </w:rPr>
      </w:pPr>
      <w:r w:rsidRPr="000663C2">
        <w:rPr>
          <w:rFonts w:ascii="DilleniaUPC" w:hAnsi="DilleniaUPC" w:cs="DilleniaUPC"/>
          <w:b/>
          <w:bCs/>
          <w:color w:val="000000" w:themeColor="text1"/>
          <w:sz w:val="36"/>
          <w:szCs w:val="36"/>
          <w:cs/>
        </w:rPr>
        <w:t>ในฐานะนายหน้าหรือตัวแทนของลูกค้า</w:t>
      </w:r>
    </w:p>
    <w:p w14:paraId="7C4E5570" w14:textId="77777777" w:rsidR="00B956D4" w:rsidRPr="000663C2" w:rsidRDefault="00B956D4" w:rsidP="002F6A3A">
      <w:pPr>
        <w:ind w:right="-98"/>
        <w:jc w:val="center"/>
        <w:rPr>
          <w:rFonts w:ascii="DilleniaUPC" w:hAnsi="DilleniaUPC" w:cs="DilleniaUPC"/>
          <w:b/>
          <w:bCs/>
          <w:color w:val="000000" w:themeColor="text1"/>
          <w:sz w:val="30"/>
          <w:szCs w:val="30"/>
        </w:rPr>
      </w:pPr>
      <w:r w:rsidRPr="000663C2">
        <w:rPr>
          <w:rFonts w:ascii="DilleniaUPC" w:hAnsi="DilleniaUPC" w:cs="DilleniaUPC"/>
          <w:b/>
          <w:bCs/>
          <w:color w:val="000000" w:themeColor="text1"/>
          <w:sz w:val="30"/>
          <w:szCs w:val="30"/>
          <w:cs/>
        </w:rPr>
        <w:t>---------------------------------------------------------</w:t>
      </w:r>
    </w:p>
    <w:p w14:paraId="6430B5E0" w14:textId="77777777" w:rsidR="003D7996" w:rsidRPr="000663C2" w:rsidRDefault="003D7996" w:rsidP="002F6A3A">
      <w:pPr>
        <w:ind w:right="-98" w:firstLine="720"/>
        <w:jc w:val="thaiDistribute"/>
        <w:rPr>
          <w:rFonts w:ascii="DilleniaUPC" w:hAnsi="DilleniaUPC" w:cs="DilleniaUPC"/>
          <w:color w:val="000000" w:themeColor="text1"/>
          <w:sz w:val="16"/>
          <w:szCs w:val="16"/>
        </w:rPr>
      </w:pPr>
    </w:p>
    <w:p w14:paraId="3BBE4CE2" w14:textId="3CF4F8D2" w:rsidR="00932A3D" w:rsidRPr="000663C2" w:rsidRDefault="00626BAF" w:rsidP="00947E14">
      <w:pPr>
        <w:ind w:right="-64"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โดยที่เห็นสมควรให้มีการทบทวนหลักเกณฑ์</w:t>
      </w:r>
      <w:r w:rsidR="00A12389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เกี่ยวกับการ</w:t>
      </w:r>
      <w:r w:rsidR="00A33644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ซื้อขายหลักทรัพย์ของสมาชิกหรือบริษัทที่มีส่วนเกี่ยวข้องกับสมาชิก</w:t>
      </w:r>
      <w:r w:rsidR="00A33644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A33644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ในฐานะนายหน้าหรือตัวแทนของลูกค้า </w:t>
      </w:r>
      <w:r w:rsidR="00932A3D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ในส่วนที่เกี่ยวกับการเปิดเผยให้ลูกค้าทราบถึงลักษณะที่อาจก่อให้เกิดความขัดแย้งทางผลประโยชน์</w:t>
      </w:r>
      <w:r w:rsidR="00932A3D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(</w:t>
      </w:r>
      <w:r w:rsidR="00932A3D" w:rsidRPr="000663C2">
        <w:rPr>
          <w:rFonts w:ascii="DilleniaUPC" w:hAnsi="DilleniaUPC" w:cs="DilleniaUPC"/>
          <w:color w:val="000000" w:themeColor="text1"/>
          <w:sz w:val="30"/>
          <w:szCs w:val="30"/>
        </w:rPr>
        <w:t>Conflict of Interest</w:t>
      </w:r>
      <w:r w:rsidR="00932A3D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)</w:t>
      </w:r>
      <w:r w:rsidR="00932A3D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เพื่อให้</w:t>
      </w:r>
      <w:r w:rsidR="00932A3D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มีระบบงานในการป้องกันความขัดแย้งทางผลประโยชน์</w:t>
      </w:r>
      <w:r w:rsidR="004520D5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br/>
      </w:r>
      <w:r w:rsidR="00932A3D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ที่เหมาะสมและ</w:t>
      </w: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สอดคล้องกับการปฏิบัติงานจริงของสมาชิก </w:t>
      </w:r>
    </w:p>
    <w:p w14:paraId="0E985345" w14:textId="033B9CF7" w:rsidR="00643429" w:rsidRPr="000663C2" w:rsidRDefault="00932A3D" w:rsidP="00947E14">
      <w:pPr>
        <w:ind w:right="-64"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  <w:cs/>
        </w:rPr>
      </w:pP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สมาคมบริษัทหลักทรัพย์ไทยจึงกำหนดหลักเกณฑ์และวิธีการเกี่ยวกับ</w:t>
      </w: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การเปิดเผยให้ลูกค้าทราบถึงลักษณะที่อาจก่อให้เกิดความขัดแย้งทางผลประโยชน์</w:t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(</w:t>
      </w:r>
      <w:r w:rsidRPr="000663C2">
        <w:rPr>
          <w:rFonts w:ascii="DilleniaUPC" w:hAnsi="DilleniaUPC" w:cs="DilleniaUPC"/>
          <w:color w:val="000000" w:themeColor="text1"/>
          <w:sz w:val="30"/>
          <w:szCs w:val="30"/>
        </w:rPr>
        <w:t>Conflict of Interest</w:t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)</w:t>
      </w: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002201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ด้วย</w:t>
      </w:r>
      <w:r w:rsidR="00A10062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ความเห็นชอบของตลาดหลักทรัพย์แห่งประเทศไทย </w:t>
      </w:r>
      <w:r w:rsidR="00A33644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ตาม</w:t>
      </w:r>
      <w:r w:rsidR="00E40515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ความใน</w:t>
      </w:r>
      <w:r w:rsidR="00A33644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ประกาศ</w:t>
      </w:r>
      <w:r w:rsidR="00A12389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ตลาดหลักทรัพย์แห่งประเทศไทย</w:t>
      </w:r>
      <w:r w:rsidR="00513FD6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ว่าด้วย</w:t>
      </w:r>
      <w:r w:rsidR="003C5BEC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วิธีปฏิบัติที่เกี่ยวกับ</w:t>
      </w:r>
      <w:r w:rsidR="006661F1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การซื้อขาย</w:t>
      </w:r>
      <w:r w:rsidR="003C5BEC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การชำระราคา</w:t>
      </w:r>
      <w:r w:rsidR="00947E14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3C5BEC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และการส่งมอบ</w:t>
      </w:r>
      <w:r w:rsidR="006661F1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หลักทรัพย์</w:t>
      </w:r>
      <w:r w:rsidR="009B2202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ในตลาดหลักทรัพย์</w:t>
      </w:r>
      <w:r w:rsidR="00F85AF8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037490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ข้อ 88 (3) </w:t>
      </w:r>
      <w:r w:rsidR="00513FD6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ในส่วนที่เกี่ยวกับข้อปฏ</w:t>
      </w: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ิบัติของ</w:t>
      </w:r>
      <w:r w:rsidR="00513FD6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สมาชิก</w:t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หรือบริษัทที่มีส่วนเกี่ยวข้องกับสมาชิก</w:t>
      </w: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0663C2">
        <w:rPr>
          <w:rFonts w:ascii="DilleniaUPC" w:hAnsi="DilleniaUPC" w:cs="DilleniaUPC"/>
          <w:color w:val="000000" w:themeColor="text1"/>
          <w:sz w:val="30"/>
          <w:szCs w:val="30"/>
          <w:cs/>
        </w:rPr>
        <w:br/>
      </w:r>
      <w:r w:rsidR="00513FD6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ในการเปิดเผยให้ลูกค้าทราบถึงลักษณะที่อาจก่อให้เกิดความขัดแย้งทางผลประโยชน์</w:t>
      </w:r>
      <w:r w:rsidR="00513FD6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(</w:t>
      </w:r>
      <w:r w:rsidR="00513FD6" w:rsidRPr="000663C2">
        <w:rPr>
          <w:rFonts w:ascii="DilleniaUPC" w:hAnsi="DilleniaUPC" w:cs="DilleniaUPC"/>
          <w:color w:val="000000" w:themeColor="text1"/>
          <w:sz w:val="30"/>
          <w:szCs w:val="30"/>
        </w:rPr>
        <w:t>Conflict of Interest</w:t>
      </w:r>
      <w:r w:rsidR="00513FD6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)</w:t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A12389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เพื่อให้สมาชิกถือปฏิบัติ ดังนี้</w:t>
      </w:r>
    </w:p>
    <w:p w14:paraId="04BF3764" w14:textId="77777777" w:rsidR="00FD5BD8" w:rsidRPr="000663C2" w:rsidRDefault="00FD5BD8" w:rsidP="00FD5BD8">
      <w:pPr>
        <w:ind w:right="-64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</w:p>
    <w:p w14:paraId="36BCA915" w14:textId="77777777" w:rsidR="00D84B27" w:rsidRPr="000663C2" w:rsidRDefault="00D84B27" w:rsidP="00A26CB0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ข้อ 1</w:t>
      </w:r>
      <w:r w:rsidR="003D7996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ให้ยกเลิกประกา</w:t>
      </w: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ศสมาคมบริษัทหลักทรัพย์ไทย เรื่อง </w:t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การซื้อขายหลักทรัพย์ของสมาชิกหรือบริษัทที่มีส่วนเกี่ยวข้องกับสมาชิก</w:t>
      </w: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ในฐานะนายหน้าหรือตัวแทนของลูกค้า</w:t>
      </w: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ลง</w:t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วันที่ </w:t>
      </w: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29 กรกฎาคม</w:t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2556</w:t>
      </w:r>
    </w:p>
    <w:p w14:paraId="7EAF557B" w14:textId="77777777" w:rsidR="00D84B27" w:rsidRPr="000663C2" w:rsidRDefault="00D84B27" w:rsidP="00D84B27">
      <w:pPr>
        <w:ind w:right="-64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</w:p>
    <w:p w14:paraId="276F3B22" w14:textId="77777777" w:rsidR="00843A5A" w:rsidRPr="000663C2" w:rsidRDefault="003D7996" w:rsidP="003D7996">
      <w:pPr>
        <w:tabs>
          <w:tab w:val="left" w:pos="1276"/>
        </w:tabs>
        <w:ind w:right="-64" w:firstLine="709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ข้อ 2</w:t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="00843A5A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ในประกาศนี้</w:t>
      </w:r>
    </w:p>
    <w:p w14:paraId="713C4D1B" w14:textId="77777777" w:rsidR="00843A5A" w:rsidRPr="000663C2" w:rsidRDefault="00843A5A" w:rsidP="00843A5A">
      <w:pPr>
        <w:ind w:left="709" w:right="-64" w:firstLine="11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“</w:t>
      </w: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ตลาดหลักทรัพย์</w:t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” </w:t>
      </w: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หมายความว่า ตลาดหลักทรัพย์แห่งประเทศไทย</w:t>
      </w:r>
    </w:p>
    <w:p w14:paraId="31670922" w14:textId="77777777" w:rsidR="00843A5A" w:rsidRPr="000663C2" w:rsidRDefault="00A008A2" w:rsidP="00843A5A">
      <w:pPr>
        <w:ind w:left="709" w:right="-64" w:firstLine="11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“</w:t>
      </w:r>
      <w:r w:rsidR="00843A5A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สมาชิก</w:t>
      </w:r>
      <w:r w:rsidR="00843A5A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” </w:t>
      </w:r>
      <w:r w:rsidR="00843A5A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หมายความว่า สมาชิกสมาคมบริษัทหลักทรัพย์ไทย</w:t>
      </w:r>
      <w:r w:rsidR="00D86DCC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ที่ประกอบธุรกิจนายหน้าซื้อขายหลักทรัพย์</w:t>
      </w:r>
    </w:p>
    <w:p w14:paraId="58D62ECC" w14:textId="6E4A8208" w:rsidR="00990AC4" w:rsidRPr="000663C2" w:rsidRDefault="00990AC4" w:rsidP="000663C2">
      <w:pPr>
        <w:ind w:right="-64"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  <w:cs/>
        </w:rPr>
      </w:pP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“</w:t>
      </w: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หลักทรัพย์ที่</w:t>
      </w:r>
      <w:r w:rsidR="002D5B45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สมาชิก</w:t>
      </w: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มีส่วนเกี่ยวข้อง</w:t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”</w:t>
      </w: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หมายความว่า </w:t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หลักทรัพย์ของบริษัทตนเองหรือบริษัทที่มีส่วนเกี่ยวข้อง</w:t>
      </w:r>
      <w:r w:rsidR="000663C2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br/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กับสมาชิก</w:t>
      </w:r>
    </w:p>
    <w:p w14:paraId="2BCE32F5" w14:textId="77777777" w:rsidR="00D01B50" w:rsidRPr="000663C2" w:rsidRDefault="00D01B50" w:rsidP="00D01B50">
      <w:pPr>
        <w:ind w:right="-64" w:firstLine="709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“บริษัทที่มีส่วนเกี่ยวข้องกับสมาชิก” หมายความว่า</w:t>
      </w:r>
      <w:r w:rsidR="00990AC4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</w:p>
    <w:p w14:paraId="2085BB98" w14:textId="77777777" w:rsidR="00D01B50" w:rsidRPr="000663C2" w:rsidRDefault="00D01B50" w:rsidP="000663C2">
      <w:pPr>
        <w:tabs>
          <w:tab w:val="left" w:pos="1134"/>
          <w:tab w:val="left" w:pos="1701"/>
        </w:tabs>
        <w:ind w:right="-64" w:firstLine="126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(</w:t>
      </w:r>
      <w:r w:rsidRPr="000663C2">
        <w:rPr>
          <w:rFonts w:ascii="DilleniaUPC" w:hAnsi="DilleniaUPC" w:cs="DilleniaUPC"/>
          <w:color w:val="000000" w:themeColor="text1"/>
          <w:sz w:val="30"/>
          <w:szCs w:val="30"/>
        </w:rPr>
        <w:t>1</w:t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)</w:t>
      </w:r>
      <w:r w:rsidR="003D7996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บริษัทที่ถือหุ้นในสมาชิกหรือบริษัทที่สมาชิกถือหุ้นในบริษัทนั้น โดยการถือหุ้นดังกล่าวทำให้บริษัทหรือสมาชิกที่ถือหุ้นมีสิทธิในการออกเสียงเกินกึ่งหนึ่งไม่ว่าโดยทางตรงหรือทางอ้อม หรือ</w:t>
      </w:r>
    </w:p>
    <w:p w14:paraId="457A80D9" w14:textId="77777777" w:rsidR="00D01B50" w:rsidRPr="000663C2" w:rsidRDefault="00D01B50" w:rsidP="000663C2">
      <w:pPr>
        <w:tabs>
          <w:tab w:val="left" w:pos="1134"/>
          <w:tab w:val="left" w:pos="1701"/>
        </w:tabs>
        <w:ind w:right="-64" w:firstLine="126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(</w:t>
      </w:r>
      <w:r w:rsidRPr="000663C2">
        <w:rPr>
          <w:rFonts w:ascii="DilleniaUPC" w:hAnsi="DilleniaUPC" w:cs="DilleniaUPC"/>
          <w:color w:val="000000" w:themeColor="text1"/>
          <w:sz w:val="30"/>
          <w:szCs w:val="30"/>
        </w:rPr>
        <w:t>2</w:t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)</w:t>
      </w:r>
      <w:r w:rsidR="003D7996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บริษัทที่มีอำนาจควบคุมในสมาชิกซึ่งโดยพฤติการณ์มีอิทธิพลต่อการกำหนดนโยบายการจัดการหรือการดำเนินงานของบริษัทอย่างมีนัยสำคัญ หรือบริษัทที่สมาชิกมีอำนาจควบคุมบริษัทนั้นในลักษณะเช่นเดียวกัน หรือ</w:t>
      </w:r>
    </w:p>
    <w:p w14:paraId="07ADDB61" w14:textId="77777777" w:rsidR="00D01B50" w:rsidRPr="000663C2" w:rsidRDefault="00D01B50" w:rsidP="000663C2">
      <w:pPr>
        <w:tabs>
          <w:tab w:val="left" w:pos="1134"/>
          <w:tab w:val="left" w:pos="1701"/>
        </w:tabs>
        <w:ind w:right="-64" w:firstLine="126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lastRenderedPageBreak/>
        <w:t>(</w:t>
      </w:r>
      <w:r w:rsidRPr="000663C2">
        <w:rPr>
          <w:rFonts w:ascii="DilleniaUPC" w:hAnsi="DilleniaUPC" w:cs="DilleniaUPC"/>
          <w:color w:val="000000" w:themeColor="text1"/>
          <w:sz w:val="30"/>
          <w:szCs w:val="30"/>
        </w:rPr>
        <w:t>3</w:t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)</w:t>
      </w:r>
      <w:r w:rsidR="003D7996"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Pr="000663C2">
        <w:rPr>
          <w:rFonts w:ascii="DilleniaUPC" w:hAnsi="DilleniaUPC" w:cs="DilleniaUPC"/>
          <w:color w:val="000000" w:themeColor="text1"/>
          <w:sz w:val="30"/>
          <w:szCs w:val="30"/>
          <w:cs/>
        </w:rPr>
        <w:t>บริษัทที่มีผู้แทนของบริษัทนั้นเป็นกรรมการเกินกึ่งหนึ่งของจำนวนกรรมการทั้งหมดของสมาชิก หรือบริษัทที่มีผู้แทนของสมาชิกเป็นกรรมการเกินกึ่งหนึ่งของจำนวนกรรมการทั้งหมดของบริษัทนั้น</w:t>
      </w:r>
    </w:p>
    <w:p w14:paraId="33C5C3D9" w14:textId="77777777" w:rsidR="00843A5A" w:rsidRPr="000663C2" w:rsidRDefault="00843A5A" w:rsidP="00D84B27">
      <w:pPr>
        <w:ind w:right="-64"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นอกเหนือจากคำที่</w:t>
      </w:r>
      <w:r w:rsidR="00A71F69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กำหนด</w:t>
      </w:r>
      <w:r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ไว้ข้างต้น ให้คำที่ปรากฏในประกาศฉบับนี้มีความหมายเป็นไปตามนิยามที่กำหนดไว้ใน</w:t>
      </w:r>
      <w:r w:rsidR="00626BAF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ข้อ</w:t>
      </w:r>
      <w:r w:rsidR="00A71F69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กำหนด</w:t>
      </w:r>
      <w:r w:rsidR="00626BAF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ตลาดหลักทรัพย์</w:t>
      </w:r>
      <w:r w:rsidR="00932A3D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ว่าด้วย</w:t>
      </w:r>
      <w:r w:rsidR="00CC0227" w:rsidRPr="000663C2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การซื้อขาย การชำระราคาและการส่งมอบหลักทรัพย์ในตลาดหลักทรัพย์ </w:t>
      </w:r>
    </w:p>
    <w:p w14:paraId="44F72ABB" w14:textId="77777777" w:rsidR="00D84B27" w:rsidRPr="000663C2" w:rsidRDefault="00D84B27" w:rsidP="00843A5A">
      <w:pPr>
        <w:tabs>
          <w:tab w:val="left" w:pos="426"/>
        </w:tabs>
        <w:ind w:left="426" w:right="-64" w:firstLine="283"/>
        <w:jc w:val="thaiDistribute"/>
        <w:rPr>
          <w:rFonts w:ascii="DilleniaUPC" w:hAnsi="DilleniaUPC" w:cs="DilleniaUPC"/>
          <w:color w:val="000000" w:themeColor="text1"/>
          <w:sz w:val="30"/>
          <w:szCs w:val="30"/>
          <w:cs/>
        </w:rPr>
      </w:pPr>
    </w:p>
    <w:p w14:paraId="592F2C09" w14:textId="509FF223" w:rsidR="00AC61B5" w:rsidRPr="00FB7F65" w:rsidRDefault="00D84B27" w:rsidP="00AC61B5">
      <w:pPr>
        <w:tabs>
          <w:tab w:val="left" w:pos="1276"/>
        </w:tabs>
        <w:ind w:right="-64"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FB7F65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ข้อ 3</w:t>
      </w:r>
      <w:r w:rsidR="003D7996"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="00AC61B5" w:rsidRPr="00FB7F65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ในกรณีที่สมาชิกทำการซื้อขายหลักทรัพย์</w:t>
      </w:r>
      <w:r w:rsidR="000663C2" w:rsidRPr="00FB7F65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ที่สมาชิก</w:t>
      </w:r>
      <w:r w:rsidR="00AC61B5" w:rsidRPr="00FB7F65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มีส่วนเกี่ยวข้องในฐานะนายหน้าหรือตัวแทนของลูกค้า ให้สมาชิกดำเนินการอย่างใดอย่างหนึ่งดังต่อไปนี้</w:t>
      </w:r>
    </w:p>
    <w:p w14:paraId="01B948E3" w14:textId="5FEC6D7C" w:rsidR="00AC61B5" w:rsidRPr="00FB7F65" w:rsidRDefault="00AC61B5" w:rsidP="0015375E">
      <w:pPr>
        <w:pStyle w:val="ListParagraph"/>
        <w:numPr>
          <w:ilvl w:val="1"/>
          <w:numId w:val="7"/>
        </w:numPr>
        <w:tabs>
          <w:tab w:val="left" w:pos="1701"/>
        </w:tabs>
        <w:ind w:left="1701" w:right="-64" w:hanging="425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>เปิดเผยให้ลูกค้าทราบถึงลักษณะที่อาจก่อให้เกิดความขัดแย้งทางผลประโยชน์ (</w:t>
      </w:r>
      <w:r w:rsidRPr="00FB7F65">
        <w:rPr>
          <w:rFonts w:ascii="DilleniaUPC" w:hAnsi="DilleniaUPC" w:cs="DilleniaUPC"/>
          <w:color w:val="000000" w:themeColor="text1"/>
          <w:sz w:val="30"/>
          <w:szCs w:val="30"/>
          <w:lang w:val="en-GB"/>
        </w:rPr>
        <w:t>Conflict of Interest</w:t>
      </w:r>
      <w:r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>) เมื่อให้คำแนะนำหรือคำปรึกษาเกี่ยวกับการลงทุนในหลักทรัพย์ที่</w:t>
      </w:r>
      <w:r w:rsidR="00FB7F65" w:rsidRPr="00FB7F65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สมาชิก</w:t>
      </w:r>
      <w:r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>มีส่วนเกี่ยวข้อง</w:t>
      </w:r>
    </w:p>
    <w:p w14:paraId="3C2DEA5B" w14:textId="7BFE9788" w:rsidR="00AC61B5" w:rsidRPr="00FB7F65" w:rsidRDefault="00AC61B5" w:rsidP="0015375E">
      <w:pPr>
        <w:pStyle w:val="ListParagraph"/>
        <w:numPr>
          <w:ilvl w:val="1"/>
          <w:numId w:val="7"/>
        </w:numPr>
        <w:tabs>
          <w:tab w:val="left" w:pos="1701"/>
        </w:tabs>
        <w:ind w:left="1701" w:right="-64" w:hanging="425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เปิดเผยให้ลูกค้าทราบถึงข้อมูลรายชื่อหลักทรัพย์และลักษณะที่อาจก่อให้เกิดความขัดแย้งทางผลประโยชน์ </w:t>
      </w:r>
      <w:r w:rsidR="00E07151"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>(</w:t>
      </w:r>
      <w:r w:rsidR="00E07151" w:rsidRPr="00FB7F65">
        <w:rPr>
          <w:rFonts w:ascii="DilleniaUPC" w:hAnsi="DilleniaUPC" w:cs="DilleniaUPC"/>
          <w:color w:val="000000" w:themeColor="text1"/>
          <w:sz w:val="30"/>
          <w:szCs w:val="30"/>
          <w:lang w:val="en-GB"/>
        </w:rPr>
        <w:t>Conflict of Interest</w:t>
      </w:r>
      <w:r w:rsidR="00E07151"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) </w:t>
      </w:r>
      <w:r w:rsidR="00E07151" w:rsidRPr="00FB7F65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เมื่อเปิดบัญชีเพื่อให้บริการแก่ลูกค้ารายใหม่ และเมื่อมีการเปลี่ยนแปลงรายชื่อหลักทรัพย์ดังกล่าว</w:t>
      </w:r>
      <w:r w:rsidRPr="00FB7F65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ให้แจ้งให้ลูกค้าทุกรายทราบโดยไม่ชักช้า </w:t>
      </w:r>
      <w:r w:rsidRPr="00FB7F65">
        <w:rPr>
          <w:rFonts w:ascii="DilleniaUPC" w:hAnsi="DilleniaUPC" w:cs="DilleniaUPC"/>
          <w:color w:val="000000" w:themeColor="text1"/>
          <w:sz w:val="30"/>
          <w:szCs w:val="30"/>
        </w:rPr>
        <w:t> </w:t>
      </w:r>
      <w:r w:rsidRPr="00FB7F65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รวมทั้งแจ้งให้ลูกค้าทุกรายรับทราบถึงข้อมูลความขัดแย้งทางผลประโยชน์อย่างน้อยทุก 6 เดือน โดยผ่านช่องทางการติดต่อที่เป็นทางการกับลูกค้าหรือเอกสารรายงานต่าง ๆ ที่จัดส่งให้ลูกค้าของบริษัท เช่น อีเมล ระบบบริการส่งข้อความผ่านอุปกรณ์สื่อสาร (</w:t>
      </w:r>
      <w:r w:rsidRPr="00FB7F65">
        <w:rPr>
          <w:rFonts w:ascii="DilleniaUPC" w:hAnsi="DilleniaUPC" w:cs="DilleniaUPC"/>
          <w:color w:val="000000" w:themeColor="text1"/>
          <w:sz w:val="30"/>
          <w:szCs w:val="30"/>
          <w:lang w:val="en-GB"/>
        </w:rPr>
        <w:t>SMS</w:t>
      </w:r>
      <w:r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>/</w:t>
      </w:r>
      <w:r w:rsidRPr="00FB7F65">
        <w:rPr>
          <w:rFonts w:ascii="DilleniaUPC" w:hAnsi="DilleniaUPC" w:cs="DilleniaUPC"/>
          <w:color w:val="000000" w:themeColor="text1"/>
          <w:sz w:val="30"/>
          <w:szCs w:val="30"/>
          <w:lang w:val="en-GB"/>
        </w:rPr>
        <w:t>MMS</w:t>
      </w:r>
      <w:r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>) รายงานแสดงทรัพย์สินของลูกค้าตามช่องทางการติดต่อดังกล่าวข้างต้น เป็นต้น</w:t>
      </w:r>
      <w:r w:rsidR="00155969" w:rsidRPr="00FB7F65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หรือ</w:t>
      </w:r>
      <w:r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ในกรณีที่ลูกค้ารายใดไม่มีธุรกรรมที่ก่อให้เกิดการเคลื่อนไหวหรือเปลี่ยนแปลงในทรัพย์สินของลูกค้าติดต่อกันตั้งแต่หนึ่งปีขึ้นไป ให้สมาชิกแจ้งลูกค้ารายดังกล่าวอย่างน้อยปีละหนึ่งครั้ง </w:t>
      </w:r>
      <w:r w:rsidR="00912585"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</w:p>
    <w:p w14:paraId="48848040" w14:textId="365CB53F" w:rsidR="00AC61B5" w:rsidRPr="00FB7F65" w:rsidRDefault="00AC61B5" w:rsidP="00FB7F65">
      <w:pPr>
        <w:tabs>
          <w:tab w:val="left" w:pos="1080"/>
        </w:tabs>
        <w:ind w:right="-64" w:firstLine="709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FB7F65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ทั้งนี้ สมาชิกอาจจัดให้มีการเปิดเผยข้อมูลเพิ่มเติมผ่านช่องทางที่ลูกค้าสามารถเข้าถึงได้โดยง่ายในภายหลังได้ เช่น ผ่านทางเว็บไชต์ของสมาชิก เป็นต้น</w:t>
      </w:r>
    </w:p>
    <w:p w14:paraId="1E38E3E7" w14:textId="77777777" w:rsidR="00D84B27" w:rsidRPr="00FB7F65" w:rsidRDefault="00D84B27" w:rsidP="00D84B27">
      <w:pPr>
        <w:pStyle w:val="ListParagraph"/>
        <w:ind w:left="1530" w:right="-64"/>
        <w:jc w:val="thaiDistribute"/>
        <w:rPr>
          <w:rFonts w:ascii="DilleniaUPC" w:hAnsi="DilleniaUPC" w:cs="DilleniaUPC"/>
          <w:color w:val="000000" w:themeColor="text1"/>
          <w:sz w:val="16"/>
          <w:szCs w:val="16"/>
          <w:lang w:val="en-GB"/>
        </w:rPr>
      </w:pPr>
    </w:p>
    <w:p w14:paraId="078BE7CB" w14:textId="77777777" w:rsidR="006D7555" w:rsidRPr="00FB7F65" w:rsidRDefault="00AC61B5" w:rsidP="00990AC4">
      <w:pPr>
        <w:tabs>
          <w:tab w:val="left" w:pos="1701"/>
        </w:tabs>
        <w:ind w:right="-64" w:firstLine="720"/>
        <w:jc w:val="thaiDistribute"/>
        <w:rPr>
          <w:rFonts w:ascii="DilleniaUPC" w:hAnsi="DilleniaUPC" w:cs="DilleniaUPC"/>
          <w:color w:val="000000" w:themeColor="text1"/>
          <w:sz w:val="30"/>
          <w:szCs w:val="30"/>
        </w:rPr>
      </w:pPr>
      <w:r w:rsidRPr="00FB7F65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ข้อ </w:t>
      </w:r>
      <w:r w:rsidRPr="00FB7F65">
        <w:rPr>
          <w:rFonts w:ascii="DilleniaUPC" w:hAnsi="DilleniaUPC" w:cs="DilleniaUPC"/>
          <w:color w:val="000000" w:themeColor="text1"/>
          <w:sz w:val="30"/>
          <w:szCs w:val="30"/>
        </w:rPr>
        <w:t>4</w:t>
      </w:r>
      <w:r w:rsidR="00990AC4" w:rsidRPr="00FB7F65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 </w:t>
      </w:r>
      <w:r w:rsidR="003C5BEC"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>เปิดเผยลักษณะที่อาจก่อให้เกิดความขัดแย้งทางผลประโยชน์ (</w:t>
      </w:r>
      <w:r w:rsidR="003C5BEC" w:rsidRPr="00FB7F65">
        <w:rPr>
          <w:rFonts w:ascii="DilleniaUPC" w:hAnsi="DilleniaUPC" w:cs="DilleniaUPC"/>
          <w:color w:val="000000" w:themeColor="text1"/>
          <w:sz w:val="30"/>
          <w:szCs w:val="30"/>
        </w:rPr>
        <w:t>Conflict of Interest</w:t>
      </w:r>
      <w:r w:rsidR="003C5BEC"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>) ไว้ในรายงานหรือบทความการวิเคราะห์การลงทุนในหลักทรัพย์</w:t>
      </w:r>
      <w:r w:rsidR="00947E14" w:rsidRPr="00FB7F65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</w:t>
      </w:r>
      <w:r w:rsidR="003C5BEC"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>เมื่อมีการจัดทำและเผยแพร่งานวิเคราะห์เกี่ยวกับ</w:t>
      </w:r>
      <w:r w:rsidR="00AE1F14" w:rsidRPr="00FB7F65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หลักทรัพย์ที่สมาชิกมีส่วนเกี่ยวข้อง</w:t>
      </w:r>
    </w:p>
    <w:p w14:paraId="45415844" w14:textId="77777777" w:rsidR="00FB7F65" w:rsidRPr="00FB7F65" w:rsidRDefault="00FB7F65" w:rsidP="00FB7F65">
      <w:pPr>
        <w:ind w:right="-62" w:firstLine="720"/>
        <w:rPr>
          <w:rFonts w:ascii="DilleniaUPC" w:hAnsi="DilleniaUPC" w:cs="DilleniaUPC"/>
          <w:color w:val="000000" w:themeColor="text1"/>
          <w:sz w:val="30"/>
          <w:szCs w:val="30"/>
        </w:rPr>
      </w:pPr>
    </w:p>
    <w:p w14:paraId="1D48062E" w14:textId="1531B765" w:rsidR="00D677F0" w:rsidRPr="00FB7F65" w:rsidRDefault="00D677F0" w:rsidP="00FB7F65">
      <w:pPr>
        <w:ind w:right="-62" w:firstLine="720"/>
        <w:rPr>
          <w:rFonts w:ascii="DilleniaUPC" w:hAnsi="DilleniaUPC" w:cs="DilleniaUPC"/>
          <w:color w:val="000000" w:themeColor="text1"/>
          <w:sz w:val="30"/>
          <w:szCs w:val="30"/>
          <w:cs/>
        </w:rPr>
      </w:pPr>
      <w:r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>ปร</w:t>
      </w:r>
      <w:r w:rsidR="006A4E68"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>ะกาศนี้มีผลบังคับ</w:t>
      </w:r>
      <w:r w:rsidR="00495AB1" w:rsidRPr="00FB7F65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ใช้</w:t>
      </w:r>
      <w:r w:rsidR="006A4E68"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>ตั้งแต่วันที่</w:t>
      </w:r>
      <w:r w:rsidR="0023460A">
        <w:rPr>
          <w:rFonts w:ascii="DilleniaUPC" w:hAnsi="DilleniaUPC" w:cs="DilleniaUPC"/>
          <w:color w:val="000000" w:themeColor="text1"/>
          <w:sz w:val="30"/>
          <w:szCs w:val="30"/>
        </w:rPr>
        <w:t xml:space="preserve"> 1</w:t>
      </w:r>
      <w:r w:rsidR="0023460A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 xml:space="preserve"> พฤศจิกายน </w:t>
      </w:r>
      <w:r w:rsidR="0023460A">
        <w:rPr>
          <w:rFonts w:ascii="DilleniaUPC" w:hAnsi="DilleniaUPC" w:cs="DilleniaUPC"/>
          <w:color w:val="000000" w:themeColor="text1"/>
          <w:sz w:val="30"/>
          <w:szCs w:val="30"/>
        </w:rPr>
        <w:t xml:space="preserve">2564 </w:t>
      </w:r>
      <w:r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>เป็นต้นไป</w:t>
      </w:r>
    </w:p>
    <w:p w14:paraId="6F21C55C" w14:textId="685055EC" w:rsidR="004C37B6" w:rsidRPr="00FB7F65" w:rsidRDefault="004C37B6" w:rsidP="00FB7F65">
      <w:pPr>
        <w:ind w:right="-62"/>
        <w:rPr>
          <w:rFonts w:ascii="DilleniaUPC" w:hAnsi="DilleniaUPC" w:cs="DilleniaUPC"/>
          <w:color w:val="000000" w:themeColor="text1"/>
          <w:sz w:val="16"/>
          <w:szCs w:val="16"/>
        </w:rPr>
      </w:pPr>
    </w:p>
    <w:p w14:paraId="6CFD32A5" w14:textId="77777777" w:rsidR="00FB7F65" w:rsidRPr="00FB7F65" w:rsidRDefault="00FB7F65" w:rsidP="00FB7F65">
      <w:pPr>
        <w:ind w:right="-62"/>
        <w:rPr>
          <w:rFonts w:ascii="DilleniaUPC" w:hAnsi="DilleniaUPC" w:cs="DilleniaUPC"/>
          <w:color w:val="000000" w:themeColor="text1"/>
          <w:sz w:val="30"/>
          <w:szCs w:val="30"/>
          <w:cs/>
        </w:rPr>
      </w:pPr>
    </w:p>
    <w:p w14:paraId="7D9D5287" w14:textId="223D9807" w:rsidR="00D677F0" w:rsidRPr="00FB7F65" w:rsidRDefault="00D677F0" w:rsidP="003D7996">
      <w:pPr>
        <w:pStyle w:val="BodyText"/>
        <w:tabs>
          <w:tab w:val="center" w:pos="5812"/>
        </w:tabs>
        <w:spacing w:after="0"/>
        <w:ind w:right="-653"/>
        <w:rPr>
          <w:rFonts w:ascii="DilleniaUPC" w:hAnsi="DilleniaUPC" w:cs="DilleniaUPC"/>
          <w:color w:val="000000" w:themeColor="text1"/>
          <w:sz w:val="30"/>
          <w:szCs w:val="30"/>
        </w:rPr>
      </w:pPr>
      <w:r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ab/>
        <w:t xml:space="preserve">ประกาศ ณ วันที่ </w:t>
      </w:r>
      <w:r w:rsidR="0023460A">
        <w:rPr>
          <w:rFonts w:ascii="DilleniaUPC" w:hAnsi="DilleniaUPC" w:cs="DilleniaUPC"/>
          <w:color w:val="000000" w:themeColor="text1"/>
          <w:sz w:val="30"/>
          <w:szCs w:val="30"/>
        </w:rPr>
        <w:t>2</w:t>
      </w:r>
      <w:r w:rsidR="0082138B">
        <w:rPr>
          <w:rFonts w:ascii="DilleniaUPC" w:hAnsi="DilleniaUPC" w:cs="DilleniaUPC"/>
          <w:color w:val="000000" w:themeColor="text1"/>
          <w:sz w:val="30"/>
          <w:szCs w:val="30"/>
        </w:rPr>
        <w:t>7</w:t>
      </w:r>
      <w:r w:rsidR="00A26CB0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A26CB0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ตุลาคม</w:t>
      </w:r>
      <w:r w:rsidR="00BA6C84"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 xml:space="preserve"> </w:t>
      </w:r>
      <w:r w:rsidR="00D84B27"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>25</w:t>
      </w:r>
      <w:r w:rsidR="00D84B27" w:rsidRPr="00FB7F65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64</w:t>
      </w:r>
    </w:p>
    <w:p w14:paraId="17740BD7" w14:textId="77777777" w:rsidR="00D677F0" w:rsidRPr="00FB7F65" w:rsidRDefault="00D677F0" w:rsidP="00D677F0">
      <w:pPr>
        <w:pStyle w:val="BodyText"/>
        <w:tabs>
          <w:tab w:val="left" w:pos="567"/>
          <w:tab w:val="center" w:pos="5760"/>
        </w:tabs>
        <w:spacing w:after="0"/>
        <w:rPr>
          <w:rFonts w:ascii="DilleniaUPC" w:hAnsi="DilleniaUPC" w:cs="DilleniaUPC"/>
          <w:color w:val="000000" w:themeColor="text1"/>
          <w:sz w:val="30"/>
          <w:szCs w:val="30"/>
        </w:rPr>
      </w:pPr>
    </w:p>
    <w:p w14:paraId="59F70840" w14:textId="77777777" w:rsidR="003D7996" w:rsidRPr="00FB7F65" w:rsidRDefault="003D7996" w:rsidP="00D677F0">
      <w:pPr>
        <w:pStyle w:val="BodyText"/>
        <w:tabs>
          <w:tab w:val="left" w:pos="567"/>
          <w:tab w:val="center" w:pos="5760"/>
        </w:tabs>
        <w:spacing w:after="0"/>
        <w:rPr>
          <w:rFonts w:ascii="DilleniaUPC" w:hAnsi="DilleniaUPC" w:cs="DilleniaUPC"/>
          <w:color w:val="000000" w:themeColor="text1"/>
          <w:sz w:val="30"/>
          <w:szCs w:val="30"/>
        </w:rPr>
      </w:pPr>
    </w:p>
    <w:p w14:paraId="75047496" w14:textId="77777777" w:rsidR="003D7996" w:rsidRPr="00FB7F65" w:rsidRDefault="003D7996" w:rsidP="00D677F0">
      <w:pPr>
        <w:pStyle w:val="BodyText"/>
        <w:tabs>
          <w:tab w:val="left" w:pos="567"/>
          <w:tab w:val="center" w:pos="5760"/>
        </w:tabs>
        <w:spacing w:after="0"/>
        <w:rPr>
          <w:rFonts w:ascii="DilleniaUPC" w:hAnsi="DilleniaUPC" w:cs="DilleniaUPC"/>
          <w:color w:val="000000" w:themeColor="text1"/>
          <w:sz w:val="30"/>
          <w:szCs w:val="30"/>
          <w:cs/>
        </w:rPr>
      </w:pPr>
    </w:p>
    <w:p w14:paraId="46F98991" w14:textId="77777777" w:rsidR="00D677F0" w:rsidRPr="00FB7F65" w:rsidRDefault="00D677F0" w:rsidP="00D677F0">
      <w:pPr>
        <w:tabs>
          <w:tab w:val="center" w:pos="5812"/>
        </w:tabs>
        <w:jc w:val="both"/>
        <w:rPr>
          <w:rFonts w:ascii="DilleniaUPC" w:hAnsi="DilleniaUPC" w:cs="DilleniaUPC"/>
          <w:color w:val="000000" w:themeColor="text1"/>
          <w:sz w:val="30"/>
          <w:szCs w:val="30"/>
          <w:cs/>
        </w:rPr>
      </w:pPr>
      <w:r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ab/>
        <w:t>(นา</w:t>
      </w:r>
      <w:r w:rsidR="00D84B27" w:rsidRPr="00FB7F65">
        <w:rPr>
          <w:rFonts w:ascii="DilleniaUPC" w:hAnsi="DilleniaUPC" w:cs="DilleniaUPC" w:hint="cs"/>
          <w:color w:val="000000" w:themeColor="text1"/>
          <w:sz w:val="30"/>
          <w:szCs w:val="30"/>
          <w:cs/>
        </w:rPr>
        <w:t>ยพิเชษฐ สิทธิอำนวย</w:t>
      </w:r>
      <w:r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>)</w:t>
      </w:r>
    </w:p>
    <w:p w14:paraId="6E1F48E1" w14:textId="77777777" w:rsidR="00ED7E47" w:rsidRPr="00FB7F65" w:rsidRDefault="00D677F0" w:rsidP="003D7996">
      <w:pPr>
        <w:pStyle w:val="BodyText"/>
        <w:tabs>
          <w:tab w:val="center" w:pos="5812"/>
        </w:tabs>
        <w:spacing w:after="0" w:line="340" w:lineRule="exact"/>
        <w:rPr>
          <w:rFonts w:ascii="DilleniaUPC" w:hAnsi="DilleniaUPC" w:cs="DilleniaUPC"/>
          <w:color w:val="000000" w:themeColor="text1"/>
          <w:sz w:val="30"/>
          <w:szCs w:val="30"/>
          <w:u w:val="single"/>
        </w:rPr>
      </w:pPr>
      <w:r w:rsidRPr="00FB7F65">
        <w:rPr>
          <w:rFonts w:ascii="DilleniaUPC" w:hAnsi="DilleniaUPC" w:cs="DilleniaUPC"/>
          <w:color w:val="000000" w:themeColor="text1"/>
          <w:sz w:val="30"/>
          <w:szCs w:val="30"/>
          <w:cs/>
        </w:rPr>
        <w:tab/>
      </w:r>
      <w:r w:rsidRPr="00FB7F65">
        <w:rPr>
          <w:rFonts w:ascii="DilleniaUPC" w:eastAsia="MS Mincho" w:hAnsi="DilleniaUPC" w:cs="DilleniaUPC"/>
          <w:color w:val="000000" w:themeColor="text1"/>
          <w:sz w:val="30"/>
          <w:szCs w:val="30"/>
          <w:cs/>
          <w:lang w:eastAsia="ja-JP"/>
        </w:rPr>
        <w:t>นายกสมาคม</w:t>
      </w:r>
    </w:p>
    <w:sectPr w:rsidR="00ED7E47" w:rsidRPr="00FB7F65" w:rsidSect="00AB2BA4">
      <w:footerReference w:type="default" r:id="rId8"/>
      <w:pgSz w:w="11906" w:h="16838"/>
      <w:pgMar w:top="1134" w:right="1372" w:bottom="1418" w:left="1701" w:header="720" w:footer="442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D1D58" w14:textId="77777777" w:rsidR="00CA1A70" w:rsidRDefault="00CA1A70" w:rsidP="00A87D06">
      <w:r>
        <w:separator/>
      </w:r>
    </w:p>
  </w:endnote>
  <w:endnote w:type="continuationSeparator" w:id="0">
    <w:p w14:paraId="2B6ED773" w14:textId="77777777" w:rsidR="00CA1A70" w:rsidRDefault="00CA1A70" w:rsidP="00A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1D920" w14:textId="77777777" w:rsidR="0047748A" w:rsidRPr="003D7996" w:rsidRDefault="00E87C51" w:rsidP="00AB2BA4">
    <w:pPr>
      <w:pStyle w:val="Footer"/>
      <w:ind w:right="44"/>
      <w:jc w:val="right"/>
      <w:rPr>
        <w:rFonts w:ascii="DilleniaUPC" w:hAnsi="DilleniaUPC" w:cs="DilleniaUPC"/>
        <w:szCs w:val="24"/>
      </w:rPr>
    </w:pPr>
    <w:r w:rsidRPr="003D7996">
      <w:rPr>
        <w:rFonts w:ascii="DilleniaUPC" w:hAnsi="DilleniaUPC" w:cs="DilleniaUPC"/>
        <w:szCs w:val="24"/>
        <w:cs/>
      </w:rPr>
      <w:t>การซื้อขายหลักทรัพย์</w:t>
    </w:r>
    <w:r w:rsidR="005953A8" w:rsidRPr="003D7996">
      <w:rPr>
        <w:rFonts w:ascii="DilleniaUPC" w:hAnsi="DilleniaUPC" w:cs="DilleniaUPC"/>
        <w:szCs w:val="24"/>
        <w:cs/>
      </w:rPr>
      <w:t>ของสมาชิกหรือบริษัทที่มีส่วนเกี่ยวข้องกับสมาชิกในฐานะนายหน้าหรือตัวแทนของลูกค้า</w:t>
    </w:r>
  </w:p>
  <w:p w14:paraId="31C390DE" w14:textId="381FD848" w:rsidR="0047748A" w:rsidRPr="003D7996" w:rsidRDefault="0047748A" w:rsidP="00AB2BA4">
    <w:pPr>
      <w:pStyle w:val="Footer"/>
      <w:ind w:right="44"/>
      <w:jc w:val="right"/>
      <w:rPr>
        <w:rFonts w:ascii="DilleniaUPC" w:hAnsi="DilleniaUPC" w:cs="DilleniaUPC"/>
        <w:sz w:val="32"/>
        <w:szCs w:val="36"/>
      </w:rPr>
    </w:pPr>
    <w:r w:rsidRPr="003D7996">
      <w:rPr>
        <w:rFonts w:ascii="DilleniaUPC" w:hAnsi="DilleniaUPC" w:cs="DilleniaUPC"/>
        <w:szCs w:val="24"/>
        <w:cs/>
      </w:rPr>
      <w:t xml:space="preserve">หน้า </w:t>
    </w:r>
    <w:r w:rsidRPr="003D7996">
      <w:rPr>
        <w:rFonts w:ascii="DilleniaUPC" w:hAnsi="DilleniaUPC" w:cs="DilleniaUPC"/>
        <w:szCs w:val="24"/>
      </w:rPr>
      <w:fldChar w:fldCharType="begin"/>
    </w:r>
    <w:r w:rsidRPr="003D7996">
      <w:rPr>
        <w:rFonts w:ascii="DilleniaUPC" w:hAnsi="DilleniaUPC" w:cs="DilleniaUPC"/>
        <w:szCs w:val="24"/>
      </w:rPr>
      <w:instrText xml:space="preserve"> PAGE </w:instrText>
    </w:r>
    <w:r w:rsidRPr="003D7996">
      <w:rPr>
        <w:rFonts w:ascii="DilleniaUPC" w:hAnsi="DilleniaUPC" w:cs="DilleniaUPC"/>
        <w:szCs w:val="24"/>
      </w:rPr>
      <w:fldChar w:fldCharType="separate"/>
    </w:r>
    <w:r w:rsidR="00032186">
      <w:rPr>
        <w:rFonts w:ascii="DilleniaUPC" w:hAnsi="DilleniaUPC" w:cs="DilleniaUPC"/>
        <w:noProof/>
        <w:szCs w:val="24"/>
      </w:rPr>
      <w:t>2</w:t>
    </w:r>
    <w:r w:rsidRPr="003D7996">
      <w:rPr>
        <w:rFonts w:ascii="DilleniaUPC" w:hAnsi="DilleniaUPC" w:cs="DilleniaUPC"/>
        <w:szCs w:val="24"/>
      </w:rPr>
      <w:fldChar w:fldCharType="end"/>
    </w:r>
    <w:r w:rsidRPr="003D7996">
      <w:rPr>
        <w:rFonts w:ascii="DilleniaUPC" w:hAnsi="DilleniaUPC" w:cs="DilleniaUPC"/>
        <w:szCs w:val="24"/>
        <w:cs/>
      </w:rPr>
      <w:t xml:space="preserve"> / </w:t>
    </w:r>
    <w:r w:rsidRPr="003D7996">
      <w:rPr>
        <w:rFonts w:ascii="DilleniaUPC" w:hAnsi="DilleniaUPC" w:cs="DilleniaUPC"/>
        <w:szCs w:val="24"/>
      </w:rPr>
      <w:fldChar w:fldCharType="begin"/>
    </w:r>
    <w:r w:rsidRPr="003D7996">
      <w:rPr>
        <w:rFonts w:ascii="DilleniaUPC" w:hAnsi="DilleniaUPC" w:cs="DilleniaUPC"/>
        <w:szCs w:val="24"/>
      </w:rPr>
      <w:instrText xml:space="preserve"> NUMPAGES  </w:instrText>
    </w:r>
    <w:r w:rsidRPr="003D7996">
      <w:rPr>
        <w:rFonts w:ascii="DilleniaUPC" w:hAnsi="DilleniaUPC" w:cs="DilleniaUPC"/>
        <w:szCs w:val="24"/>
      </w:rPr>
      <w:fldChar w:fldCharType="separate"/>
    </w:r>
    <w:r w:rsidR="00032186">
      <w:rPr>
        <w:rFonts w:ascii="DilleniaUPC" w:hAnsi="DilleniaUPC" w:cs="DilleniaUPC"/>
        <w:noProof/>
        <w:szCs w:val="24"/>
      </w:rPr>
      <w:t>2</w:t>
    </w:r>
    <w:r w:rsidRPr="003D7996">
      <w:rPr>
        <w:rFonts w:ascii="DilleniaUPC" w:hAnsi="DilleniaUPC" w:cs="DilleniaUPC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52C09" w14:textId="77777777" w:rsidR="00CA1A70" w:rsidRDefault="00CA1A70" w:rsidP="00A87D06">
      <w:r>
        <w:separator/>
      </w:r>
    </w:p>
  </w:footnote>
  <w:footnote w:type="continuationSeparator" w:id="0">
    <w:p w14:paraId="49C65E67" w14:textId="77777777" w:rsidR="00CA1A70" w:rsidRDefault="00CA1A70" w:rsidP="00A8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9B8"/>
    <w:multiLevelType w:val="multilevel"/>
    <w:tmpl w:val="286C1B60"/>
    <w:lvl w:ilvl="0">
      <w:start w:val="3"/>
      <w:numFmt w:val="decimal"/>
      <w:lvlText w:val="%1"/>
      <w:lvlJc w:val="left"/>
      <w:pPr>
        <w:ind w:left="360" w:hanging="360"/>
      </w:pPr>
      <w:rPr>
        <w:rFonts w:eastAsia="Calibri"/>
        <w:color w:val="0070C0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eastAsia="Calibri"/>
        <w:color w:val="0070C0"/>
      </w:rPr>
    </w:lvl>
    <w:lvl w:ilvl="2">
      <w:start w:val="1"/>
      <w:numFmt w:val="decimal"/>
      <w:lvlText w:val="%1.%2.%3"/>
      <w:lvlJc w:val="left"/>
      <w:pPr>
        <w:ind w:left="960" w:hanging="360"/>
      </w:pPr>
      <w:rPr>
        <w:rFonts w:eastAsia="Calibri"/>
        <w:color w:val="0070C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eastAsia="Calibri"/>
        <w:color w:val="0070C0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eastAsia="Calibri"/>
        <w:color w:val="0070C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eastAsia="Calibri"/>
        <w:color w:val="0070C0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eastAsia="Calibri"/>
        <w:color w:val="0070C0"/>
      </w:rPr>
    </w:lvl>
    <w:lvl w:ilvl="7">
      <w:start w:val="1"/>
      <w:numFmt w:val="decimal"/>
      <w:lvlText w:val="%1.%2.%3.%4.%5.%6.%7.%8"/>
      <w:lvlJc w:val="left"/>
      <w:pPr>
        <w:ind w:left="3180" w:hanging="1080"/>
      </w:pPr>
      <w:rPr>
        <w:rFonts w:eastAsia="Calibri"/>
        <w:color w:val="0070C0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eastAsia="Calibri"/>
        <w:color w:val="0070C0"/>
      </w:rPr>
    </w:lvl>
  </w:abstractNum>
  <w:abstractNum w:abstractNumId="1" w15:restartNumberingAfterBreak="0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93B7849"/>
    <w:multiLevelType w:val="hybridMultilevel"/>
    <w:tmpl w:val="4E801A16"/>
    <w:lvl w:ilvl="0" w:tplc="12C0ADAC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E7D3D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FA5040"/>
    <w:multiLevelType w:val="multilevel"/>
    <w:tmpl w:val="C890E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E3"/>
    <w:rsid w:val="00000EA1"/>
    <w:rsid w:val="00002201"/>
    <w:rsid w:val="000025E8"/>
    <w:rsid w:val="000040E3"/>
    <w:rsid w:val="00032186"/>
    <w:rsid w:val="000363B8"/>
    <w:rsid w:val="00037490"/>
    <w:rsid w:val="00060532"/>
    <w:rsid w:val="00061B7E"/>
    <w:rsid w:val="000663C2"/>
    <w:rsid w:val="000A50B8"/>
    <w:rsid w:val="000D29FD"/>
    <w:rsid w:val="000F78FE"/>
    <w:rsid w:val="00101C43"/>
    <w:rsid w:val="00105B16"/>
    <w:rsid w:val="0011539E"/>
    <w:rsid w:val="00120947"/>
    <w:rsid w:val="00125CBF"/>
    <w:rsid w:val="001504D9"/>
    <w:rsid w:val="0015210A"/>
    <w:rsid w:val="0015375E"/>
    <w:rsid w:val="00155969"/>
    <w:rsid w:val="0016459F"/>
    <w:rsid w:val="001669FB"/>
    <w:rsid w:val="0017238C"/>
    <w:rsid w:val="00177202"/>
    <w:rsid w:val="00181EEF"/>
    <w:rsid w:val="00191233"/>
    <w:rsid w:val="00195BD6"/>
    <w:rsid w:val="001B5394"/>
    <w:rsid w:val="001B7E14"/>
    <w:rsid w:val="001C19A0"/>
    <w:rsid w:val="001D3C38"/>
    <w:rsid w:val="001E0341"/>
    <w:rsid w:val="001F217E"/>
    <w:rsid w:val="0023460A"/>
    <w:rsid w:val="00236194"/>
    <w:rsid w:val="0023753D"/>
    <w:rsid w:val="00250B42"/>
    <w:rsid w:val="00256650"/>
    <w:rsid w:val="002659D4"/>
    <w:rsid w:val="0026636C"/>
    <w:rsid w:val="00272E2C"/>
    <w:rsid w:val="00276212"/>
    <w:rsid w:val="00282A8C"/>
    <w:rsid w:val="002A20CD"/>
    <w:rsid w:val="002B0E34"/>
    <w:rsid w:val="002B244C"/>
    <w:rsid w:val="002C73BC"/>
    <w:rsid w:val="002D3CE3"/>
    <w:rsid w:val="002D3F71"/>
    <w:rsid w:val="002D536E"/>
    <w:rsid w:val="002D5B45"/>
    <w:rsid w:val="002F1ADB"/>
    <w:rsid w:val="002F1FB1"/>
    <w:rsid w:val="002F6280"/>
    <w:rsid w:val="002F6A3A"/>
    <w:rsid w:val="00303E7D"/>
    <w:rsid w:val="00303FA1"/>
    <w:rsid w:val="0031111A"/>
    <w:rsid w:val="003128DE"/>
    <w:rsid w:val="00317693"/>
    <w:rsid w:val="003260D1"/>
    <w:rsid w:val="003303AE"/>
    <w:rsid w:val="003337CB"/>
    <w:rsid w:val="00356B61"/>
    <w:rsid w:val="00363FE6"/>
    <w:rsid w:val="00366D91"/>
    <w:rsid w:val="00386C64"/>
    <w:rsid w:val="003935FA"/>
    <w:rsid w:val="003A1E08"/>
    <w:rsid w:val="003C2983"/>
    <w:rsid w:val="003C5BEC"/>
    <w:rsid w:val="003D7996"/>
    <w:rsid w:val="00420AAC"/>
    <w:rsid w:val="00421E27"/>
    <w:rsid w:val="00426157"/>
    <w:rsid w:val="004306CB"/>
    <w:rsid w:val="00444502"/>
    <w:rsid w:val="0044658A"/>
    <w:rsid w:val="004520D5"/>
    <w:rsid w:val="0046319D"/>
    <w:rsid w:val="0046755F"/>
    <w:rsid w:val="004735DB"/>
    <w:rsid w:val="0047748A"/>
    <w:rsid w:val="00477D28"/>
    <w:rsid w:val="00477F5F"/>
    <w:rsid w:val="004846CB"/>
    <w:rsid w:val="00493EB2"/>
    <w:rsid w:val="00495AB1"/>
    <w:rsid w:val="004A7C57"/>
    <w:rsid w:val="004B4D53"/>
    <w:rsid w:val="004C18CB"/>
    <w:rsid w:val="004C37B6"/>
    <w:rsid w:val="004C5CFF"/>
    <w:rsid w:val="004D2B95"/>
    <w:rsid w:val="004D4BAF"/>
    <w:rsid w:val="004F6C07"/>
    <w:rsid w:val="0050583F"/>
    <w:rsid w:val="0050735F"/>
    <w:rsid w:val="00513FD6"/>
    <w:rsid w:val="00514F77"/>
    <w:rsid w:val="005175CD"/>
    <w:rsid w:val="00531716"/>
    <w:rsid w:val="005435EE"/>
    <w:rsid w:val="00544AF1"/>
    <w:rsid w:val="00546830"/>
    <w:rsid w:val="00550282"/>
    <w:rsid w:val="00574649"/>
    <w:rsid w:val="00581080"/>
    <w:rsid w:val="00591425"/>
    <w:rsid w:val="00593406"/>
    <w:rsid w:val="005953A8"/>
    <w:rsid w:val="00595982"/>
    <w:rsid w:val="005B700C"/>
    <w:rsid w:val="005D10BC"/>
    <w:rsid w:val="005F2D4F"/>
    <w:rsid w:val="00607C48"/>
    <w:rsid w:val="00607E73"/>
    <w:rsid w:val="006133AF"/>
    <w:rsid w:val="006200B0"/>
    <w:rsid w:val="00626BAF"/>
    <w:rsid w:val="00627026"/>
    <w:rsid w:val="006327FC"/>
    <w:rsid w:val="00643429"/>
    <w:rsid w:val="006461CB"/>
    <w:rsid w:val="006661F1"/>
    <w:rsid w:val="00667368"/>
    <w:rsid w:val="00676B50"/>
    <w:rsid w:val="0068507E"/>
    <w:rsid w:val="006913EB"/>
    <w:rsid w:val="00695088"/>
    <w:rsid w:val="006A2992"/>
    <w:rsid w:val="006A4E68"/>
    <w:rsid w:val="006A69E2"/>
    <w:rsid w:val="006B203F"/>
    <w:rsid w:val="006B4B98"/>
    <w:rsid w:val="006C04EA"/>
    <w:rsid w:val="006C762D"/>
    <w:rsid w:val="006D7555"/>
    <w:rsid w:val="006F1436"/>
    <w:rsid w:val="006F7B9B"/>
    <w:rsid w:val="00704BFF"/>
    <w:rsid w:val="00705A13"/>
    <w:rsid w:val="0071174C"/>
    <w:rsid w:val="00712F66"/>
    <w:rsid w:val="00714269"/>
    <w:rsid w:val="00745243"/>
    <w:rsid w:val="00750A5B"/>
    <w:rsid w:val="00753D8C"/>
    <w:rsid w:val="00762395"/>
    <w:rsid w:val="00765461"/>
    <w:rsid w:val="00780B66"/>
    <w:rsid w:val="00793850"/>
    <w:rsid w:val="007A4100"/>
    <w:rsid w:val="007A4961"/>
    <w:rsid w:val="007A5B52"/>
    <w:rsid w:val="007B24E5"/>
    <w:rsid w:val="007F0364"/>
    <w:rsid w:val="0080061D"/>
    <w:rsid w:val="00801307"/>
    <w:rsid w:val="008067C7"/>
    <w:rsid w:val="0080750D"/>
    <w:rsid w:val="00820508"/>
    <w:rsid w:val="0082138B"/>
    <w:rsid w:val="008353E3"/>
    <w:rsid w:val="0083624C"/>
    <w:rsid w:val="0083654A"/>
    <w:rsid w:val="00843A5A"/>
    <w:rsid w:val="0085674D"/>
    <w:rsid w:val="0086072E"/>
    <w:rsid w:val="00861781"/>
    <w:rsid w:val="00871D86"/>
    <w:rsid w:val="0087205E"/>
    <w:rsid w:val="008908A1"/>
    <w:rsid w:val="008B2081"/>
    <w:rsid w:val="008B21CA"/>
    <w:rsid w:val="008B2976"/>
    <w:rsid w:val="008D56A1"/>
    <w:rsid w:val="008D589A"/>
    <w:rsid w:val="00904F9D"/>
    <w:rsid w:val="00912585"/>
    <w:rsid w:val="00930409"/>
    <w:rsid w:val="00932A3D"/>
    <w:rsid w:val="00935813"/>
    <w:rsid w:val="00936256"/>
    <w:rsid w:val="00944E12"/>
    <w:rsid w:val="00947E14"/>
    <w:rsid w:val="00956915"/>
    <w:rsid w:val="00957E5E"/>
    <w:rsid w:val="009657C4"/>
    <w:rsid w:val="00971E21"/>
    <w:rsid w:val="00990AC4"/>
    <w:rsid w:val="00993476"/>
    <w:rsid w:val="009B07CC"/>
    <w:rsid w:val="009B2202"/>
    <w:rsid w:val="009B2ABE"/>
    <w:rsid w:val="009C5072"/>
    <w:rsid w:val="009E1D93"/>
    <w:rsid w:val="009E333B"/>
    <w:rsid w:val="009F6832"/>
    <w:rsid w:val="009F696D"/>
    <w:rsid w:val="00A008A2"/>
    <w:rsid w:val="00A01715"/>
    <w:rsid w:val="00A10062"/>
    <w:rsid w:val="00A10FF9"/>
    <w:rsid w:val="00A12389"/>
    <w:rsid w:val="00A26CB0"/>
    <w:rsid w:val="00A313D2"/>
    <w:rsid w:val="00A33644"/>
    <w:rsid w:val="00A35B5E"/>
    <w:rsid w:val="00A35E6B"/>
    <w:rsid w:val="00A36B2F"/>
    <w:rsid w:val="00A54E6C"/>
    <w:rsid w:val="00A61912"/>
    <w:rsid w:val="00A62C11"/>
    <w:rsid w:val="00A71F69"/>
    <w:rsid w:val="00A815F1"/>
    <w:rsid w:val="00A87D06"/>
    <w:rsid w:val="00AA76D1"/>
    <w:rsid w:val="00AB2BA4"/>
    <w:rsid w:val="00AC61B5"/>
    <w:rsid w:val="00AD26AF"/>
    <w:rsid w:val="00AE1F14"/>
    <w:rsid w:val="00AE7138"/>
    <w:rsid w:val="00B02C2F"/>
    <w:rsid w:val="00B16FD6"/>
    <w:rsid w:val="00B277B2"/>
    <w:rsid w:val="00B557AF"/>
    <w:rsid w:val="00B603F4"/>
    <w:rsid w:val="00B75A2D"/>
    <w:rsid w:val="00B956D4"/>
    <w:rsid w:val="00BA16B3"/>
    <w:rsid w:val="00BA6565"/>
    <w:rsid w:val="00BA6C84"/>
    <w:rsid w:val="00BB110F"/>
    <w:rsid w:val="00BB1403"/>
    <w:rsid w:val="00BB42A0"/>
    <w:rsid w:val="00BB6ECB"/>
    <w:rsid w:val="00BC04BE"/>
    <w:rsid w:val="00BC4C9A"/>
    <w:rsid w:val="00BC7017"/>
    <w:rsid w:val="00BD42F3"/>
    <w:rsid w:val="00BE5309"/>
    <w:rsid w:val="00BF2961"/>
    <w:rsid w:val="00BF34D9"/>
    <w:rsid w:val="00BF7576"/>
    <w:rsid w:val="00C02447"/>
    <w:rsid w:val="00C1662D"/>
    <w:rsid w:val="00C314B0"/>
    <w:rsid w:val="00C50144"/>
    <w:rsid w:val="00C506EA"/>
    <w:rsid w:val="00C55CC1"/>
    <w:rsid w:val="00C60EA0"/>
    <w:rsid w:val="00C647CA"/>
    <w:rsid w:val="00C673B0"/>
    <w:rsid w:val="00C774EC"/>
    <w:rsid w:val="00C8272B"/>
    <w:rsid w:val="00CA1A70"/>
    <w:rsid w:val="00CA2355"/>
    <w:rsid w:val="00CA3164"/>
    <w:rsid w:val="00CB3D0A"/>
    <w:rsid w:val="00CC0227"/>
    <w:rsid w:val="00CE2DC4"/>
    <w:rsid w:val="00CF2F5C"/>
    <w:rsid w:val="00D01B50"/>
    <w:rsid w:val="00D06506"/>
    <w:rsid w:val="00D34581"/>
    <w:rsid w:val="00D545BD"/>
    <w:rsid w:val="00D604A7"/>
    <w:rsid w:val="00D64318"/>
    <w:rsid w:val="00D677F0"/>
    <w:rsid w:val="00D7471F"/>
    <w:rsid w:val="00D763F9"/>
    <w:rsid w:val="00D77E6C"/>
    <w:rsid w:val="00D82CCA"/>
    <w:rsid w:val="00D84B27"/>
    <w:rsid w:val="00D86DCC"/>
    <w:rsid w:val="00DC34FD"/>
    <w:rsid w:val="00DC568C"/>
    <w:rsid w:val="00DD06CF"/>
    <w:rsid w:val="00DF1922"/>
    <w:rsid w:val="00E07151"/>
    <w:rsid w:val="00E1120C"/>
    <w:rsid w:val="00E20ED9"/>
    <w:rsid w:val="00E21D1A"/>
    <w:rsid w:val="00E2440E"/>
    <w:rsid w:val="00E26226"/>
    <w:rsid w:val="00E35AB7"/>
    <w:rsid w:val="00E3774C"/>
    <w:rsid w:val="00E40515"/>
    <w:rsid w:val="00E45724"/>
    <w:rsid w:val="00E56A82"/>
    <w:rsid w:val="00E62A27"/>
    <w:rsid w:val="00E65B2E"/>
    <w:rsid w:val="00E72FB4"/>
    <w:rsid w:val="00E837D5"/>
    <w:rsid w:val="00E856B3"/>
    <w:rsid w:val="00E870A4"/>
    <w:rsid w:val="00E87C51"/>
    <w:rsid w:val="00EA7CCE"/>
    <w:rsid w:val="00EC18C4"/>
    <w:rsid w:val="00ED7E47"/>
    <w:rsid w:val="00EE247F"/>
    <w:rsid w:val="00EE566E"/>
    <w:rsid w:val="00EF6D5F"/>
    <w:rsid w:val="00F2639A"/>
    <w:rsid w:val="00F605E1"/>
    <w:rsid w:val="00F72021"/>
    <w:rsid w:val="00F85AF8"/>
    <w:rsid w:val="00FA21CA"/>
    <w:rsid w:val="00FA502D"/>
    <w:rsid w:val="00FB3063"/>
    <w:rsid w:val="00FB797E"/>
    <w:rsid w:val="00FB7F65"/>
    <w:rsid w:val="00FD1D81"/>
    <w:rsid w:val="00FD5BD8"/>
    <w:rsid w:val="00FE393B"/>
    <w:rsid w:val="00FE764A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6A1DD"/>
  <w15:docId w15:val="{3A4247F5-0032-479A-A5E9-B4FD10E6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D84B2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32A3D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32A3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932A3D"/>
    <w:rPr>
      <w:szCs w:val="25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2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2A3D"/>
    <w:rPr>
      <w:b/>
      <w:bCs/>
      <w:szCs w:val="2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A403-5772-4FB6-A3CE-334C9A13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HP</dc:creator>
  <cp:lastModifiedBy>Bawornpan Ashakul</cp:lastModifiedBy>
  <cp:revision>2</cp:revision>
  <cp:lastPrinted>2021-10-25T02:33:00Z</cp:lastPrinted>
  <dcterms:created xsi:type="dcterms:W3CDTF">2021-11-02T03:56:00Z</dcterms:created>
  <dcterms:modified xsi:type="dcterms:W3CDTF">2021-11-02T03:56:00Z</dcterms:modified>
</cp:coreProperties>
</file>