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1DE20" w14:textId="1F9B5613" w:rsidR="0080061D" w:rsidRDefault="0080061D" w:rsidP="00FE393B">
      <w:pPr>
        <w:ind w:right="-766"/>
        <w:rPr>
          <w:rFonts w:ascii="DilleniaUPC" w:hAnsi="DilleniaUPC" w:cs="DilleniaUPC"/>
          <w:b/>
          <w:bCs/>
          <w:noProof/>
          <w:color w:val="000000" w:themeColor="text1"/>
          <w:sz w:val="30"/>
          <w:szCs w:val="30"/>
          <w:lang w:eastAsia="en-US"/>
        </w:rPr>
      </w:pPr>
    </w:p>
    <w:p w14:paraId="2541EAF9" w14:textId="5FA59866" w:rsidR="00032186" w:rsidRDefault="00032186" w:rsidP="00FE393B">
      <w:pPr>
        <w:ind w:right="-766"/>
        <w:rPr>
          <w:rFonts w:ascii="DilleniaUPC" w:hAnsi="DilleniaUPC" w:cs="DilleniaUPC"/>
          <w:b/>
          <w:bCs/>
          <w:noProof/>
          <w:color w:val="000000" w:themeColor="text1"/>
          <w:sz w:val="30"/>
          <w:szCs w:val="30"/>
          <w:lang w:eastAsia="en-US"/>
        </w:rPr>
      </w:pPr>
    </w:p>
    <w:p w14:paraId="6ED46262" w14:textId="77777777" w:rsidR="00032186" w:rsidRPr="002D3F71" w:rsidRDefault="00032186" w:rsidP="00FE393B">
      <w:pPr>
        <w:ind w:right="-766"/>
        <w:rPr>
          <w:rFonts w:ascii="Browallia New" w:hAnsi="Browallia New" w:cs="Browallia New" w:hint="cs"/>
          <w:b/>
          <w:bCs/>
          <w:color w:val="0070C0"/>
          <w:sz w:val="30"/>
          <w:szCs w:val="30"/>
        </w:rPr>
      </w:pPr>
      <w:bookmarkStart w:id="0" w:name="_GoBack"/>
      <w:bookmarkEnd w:id="0"/>
    </w:p>
    <w:p w14:paraId="430DC9CC" w14:textId="03CC8485" w:rsidR="003D7996" w:rsidRPr="000663C2" w:rsidRDefault="003D7996" w:rsidP="002F6A3A">
      <w:pPr>
        <w:ind w:right="-98"/>
        <w:jc w:val="center"/>
        <w:rPr>
          <w:rFonts w:ascii="DilleniaUPC" w:hAnsi="DilleniaUPC" w:cs="DilleniaUPC"/>
          <w:b/>
          <w:bCs/>
          <w:color w:val="000000" w:themeColor="text1"/>
          <w:sz w:val="36"/>
          <w:szCs w:val="36"/>
        </w:rPr>
      </w:pPr>
    </w:p>
    <w:p w14:paraId="03037FCA" w14:textId="77777777" w:rsidR="000040E3" w:rsidRPr="000663C2" w:rsidRDefault="000040E3" w:rsidP="002F6A3A">
      <w:pPr>
        <w:ind w:right="-98"/>
        <w:jc w:val="center"/>
        <w:rPr>
          <w:rFonts w:ascii="DilleniaUPC" w:hAnsi="DilleniaUPC" w:cs="DilleniaUPC"/>
          <w:b/>
          <w:bCs/>
          <w:color w:val="000000" w:themeColor="text1"/>
          <w:sz w:val="36"/>
          <w:szCs w:val="36"/>
        </w:rPr>
      </w:pPr>
      <w:r w:rsidRPr="000663C2">
        <w:rPr>
          <w:rFonts w:ascii="DilleniaUPC" w:hAnsi="DilleniaUPC" w:cs="DilleniaUPC"/>
          <w:b/>
          <w:bCs/>
          <w:color w:val="000000" w:themeColor="text1"/>
          <w:sz w:val="36"/>
          <w:szCs w:val="36"/>
          <w:cs/>
        </w:rPr>
        <w:t>ประกาศสมาคมบริษัทหลักทรัพย์</w:t>
      </w:r>
      <w:r w:rsidR="006F7B9B" w:rsidRPr="000663C2">
        <w:rPr>
          <w:rFonts w:ascii="DilleniaUPC" w:hAnsi="DilleniaUPC" w:cs="DilleniaUPC"/>
          <w:b/>
          <w:bCs/>
          <w:color w:val="000000" w:themeColor="text1"/>
          <w:sz w:val="36"/>
          <w:szCs w:val="36"/>
          <w:cs/>
        </w:rPr>
        <w:t>ไทย</w:t>
      </w:r>
    </w:p>
    <w:p w14:paraId="384A1258" w14:textId="0ACCF71F" w:rsidR="00FE764A" w:rsidRPr="000663C2" w:rsidRDefault="00FE764A" w:rsidP="002F6A3A">
      <w:pPr>
        <w:ind w:right="-98"/>
        <w:jc w:val="center"/>
        <w:rPr>
          <w:rFonts w:ascii="DilleniaUPC" w:hAnsi="DilleniaUPC" w:cs="DilleniaUPC"/>
          <w:b/>
          <w:bCs/>
          <w:color w:val="000000" w:themeColor="text1"/>
          <w:sz w:val="36"/>
          <w:szCs w:val="36"/>
          <w:cs/>
        </w:rPr>
      </w:pPr>
      <w:r w:rsidRPr="000663C2">
        <w:rPr>
          <w:rFonts w:ascii="DilleniaUPC" w:hAnsi="DilleniaUPC" w:cs="DilleniaUPC" w:hint="cs"/>
          <w:b/>
          <w:bCs/>
          <w:color w:val="000000" w:themeColor="text1"/>
          <w:sz w:val="36"/>
          <w:szCs w:val="36"/>
          <w:cs/>
        </w:rPr>
        <w:t xml:space="preserve">ที่ </w:t>
      </w:r>
      <w:r w:rsidR="006F1436" w:rsidRPr="000663C2">
        <w:rPr>
          <w:rFonts w:ascii="DilleniaUPC" w:hAnsi="DilleniaUPC" w:cs="DilleniaUPC" w:hint="cs"/>
          <w:b/>
          <w:bCs/>
          <w:color w:val="000000" w:themeColor="text1"/>
          <w:sz w:val="36"/>
          <w:szCs w:val="36"/>
          <w:cs/>
        </w:rPr>
        <w:t>กส</w:t>
      </w:r>
      <w:r w:rsidR="00ED7E47" w:rsidRPr="000663C2">
        <w:rPr>
          <w:rFonts w:ascii="DilleniaUPC" w:hAnsi="DilleniaUPC" w:cs="DilleniaUPC" w:hint="cs"/>
          <w:b/>
          <w:bCs/>
          <w:color w:val="000000" w:themeColor="text1"/>
          <w:sz w:val="36"/>
          <w:szCs w:val="36"/>
          <w:cs/>
        </w:rPr>
        <w:t xml:space="preserve">. </w:t>
      </w:r>
      <w:r w:rsidR="00A815F1">
        <w:rPr>
          <w:rFonts w:ascii="DilleniaUPC" w:hAnsi="DilleniaUPC" w:cs="DilleniaUPC"/>
          <w:b/>
          <w:bCs/>
          <w:color w:val="000000" w:themeColor="text1"/>
          <w:sz w:val="36"/>
          <w:szCs w:val="36"/>
        </w:rPr>
        <w:t>1</w:t>
      </w:r>
      <w:r w:rsidRPr="000663C2">
        <w:rPr>
          <w:rFonts w:ascii="DilleniaUPC" w:hAnsi="DilleniaUPC" w:cs="DilleniaUPC" w:hint="cs"/>
          <w:b/>
          <w:bCs/>
          <w:color w:val="000000" w:themeColor="text1"/>
          <w:sz w:val="36"/>
          <w:szCs w:val="36"/>
          <w:cs/>
        </w:rPr>
        <w:t>/25</w:t>
      </w:r>
      <w:r w:rsidR="00E837D5" w:rsidRPr="000663C2">
        <w:rPr>
          <w:rFonts w:ascii="DilleniaUPC" w:hAnsi="DilleniaUPC" w:cs="DilleniaUPC" w:hint="cs"/>
          <w:b/>
          <w:bCs/>
          <w:color w:val="000000" w:themeColor="text1"/>
          <w:sz w:val="36"/>
          <w:szCs w:val="36"/>
          <w:cs/>
        </w:rPr>
        <w:t>64</w:t>
      </w:r>
    </w:p>
    <w:p w14:paraId="0CAE8906" w14:textId="77777777" w:rsidR="003C5BEC" w:rsidRPr="000663C2" w:rsidRDefault="000040E3" w:rsidP="002F6A3A">
      <w:pPr>
        <w:ind w:right="-98"/>
        <w:jc w:val="center"/>
        <w:rPr>
          <w:rFonts w:ascii="DilleniaUPC" w:hAnsi="DilleniaUPC" w:cs="DilleniaUPC"/>
          <w:b/>
          <w:bCs/>
          <w:color w:val="000000" w:themeColor="text1"/>
          <w:sz w:val="36"/>
          <w:szCs w:val="36"/>
        </w:rPr>
      </w:pPr>
      <w:r w:rsidRPr="000663C2">
        <w:rPr>
          <w:rFonts w:ascii="DilleniaUPC" w:hAnsi="DilleniaUPC" w:cs="DilleniaUPC"/>
          <w:b/>
          <w:bCs/>
          <w:color w:val="000000" w:themeColor="text1"/>
          <w:sz w:val="36"/>
          <w:szCs w:val="36"/>
          <w:cs/>
        </w:rPr>
        <w:t xml:space="preserve">เรื่อง  </w:t>
      </w:r>
      <w:r w:rsidR="003C5BEC" w:rsidRPr="000663C2">
        <w:rPr>
          <w:rFonts w:ascii="DilleniaUPC" w:hAnsi="DilleniaUPC" w:cs="DilleniaUPC"/>
          <w:b/>
          <w:bCs/>
          <w:color w:val="000000" w:themeColor="text1"/>
          <w:sz w:val="36"/>
          <w:szCs w:val="36"/>
          <w:cs/>
        </w:rPr>
        <w:t>การซื้อขาย</w:t>
      </w:r>
      <w:r w:rsidR="006661F1" w:rsidRPr="000663C2">
        <w:rPr>
          <w:rFonts w:ascii="DilleniaUPC" w:hAnsi="DilleniaUPC" w:cs="DilleniaUPC"/>
          <w:b/>
          <w:bCs/>
          <w:color w:val="000000" w:themeColor="text1"/>
          <w:sz w:val="36"/>
          <w:szCs w:val="36"/>
          <w:cs/>
        </w:rPr>
        <w:t>หลักทรัพย์</w:t>
      </w:r>
      <w:r w:rsidR="003C5BEC" w:rsidRPr="000663C2">
        <w:rPr>
          <w:rFonts w:ascii="DilleniaUPC" w:hAnsi="DilleniaUPC" w:cs="DilleniaUPC"/>
          <w:b/>
          <w:bCs/>
          <w:color w:val="000000" w:themeColor="text1"/>
          <w:sz w:val="36"/>
          <w:szCs w:val="36"/>
          <w:cs/>
        </w:rPr>
        <w:t>ของสมาชิกหรือบริษัทที่มีส่วนเกี่ยวข้องกับสมาชิก</w:t>
      </w:r>
    </w:p>
    <w:p w14:paraId="1ECB6780" w14:textId="721B13FE" w:rsidR="000025E8" w:rsidRPr="000663C2" w:rsidRDefault="003C5BEC" w:rsidP="002F6A3A">
      <w:pPr>
        <w:ind w:right="-98"/>
        <w:jc w:val="center"/>
        <w:rPr>
          <w:rFonts w:ascii="DilleniaUPC" w:hAnsi="DilleniaUPC" w:cs="DilleniaUPC"/>
          <w:b/>
          <w:bCs/>
          <w:color w:val="000000" w:themeColor="text1"/>
          <w:sz w:val="36"/>
          <w:szCs w:val="36"/>
        </w:rPr>
      </w:pPr>
      <w:r w:rsidRPr="000663C2">
        <w:rPr>
          <w:rFonts w:ascii="DilleniaUPC" w:hAnsi="DilleniaUPC" w:cs="DilleniaUPC"/>
          <w:b/>
          <w:bCs/>
          <w:color w:val="000000" w:themeColor="text1"/>
          <w:sz w:val="36"/>
          <w:szCs w:val="36"/>
          <w:cs/>
        </w:rPr>
        <w:t>ในฐานะนายหน้าหรือตัวแทนของลูกค้า</w:t>
      </w:r>
    </w:p>
    <w:p w14:paraId="7C4E5570" w14:textId="77777777" w:rsidR="00B956D4" w:rsidRPr="000663C2" w:rsidRDefault="00B956D4" w:rsidP="002F6A3A">
      <w:pPr>
        <w:ind w:right="-98"/>
        <w:jc w:val="center"/>
        <w:rPr>
          <w:rFonts w:ascii="DilleniaUPC" w:hAnsi="DilleniaUPC" w:cs="DilleniaUPC"/>
          <w:b/>
          <w:bCs/>
          <w:color w:val="000000" w:themeColor="text1"/>
          <w:sz w:val="30"/>
          <w:szCs w:val="30"/>
        </w:rPr>
      </w:pPr>
      <w:r w:rsidRPr="000663C2">
        <w:rPr>
          <w:rFonts w:ascii="DilleniaUPC" w:hAnsi="DilleniaUPC" w:cs="DilleniaUPC"/>
          <w:b/>
          <w:bCs/>
          <w:color w:val="000000" w:themeColor="text1"/>
          <w:sz w:val="30"/>
          <w:szCs w:val="30"/>
          <w:cs/>
        </w:rPr>
        <w:t>---------------------------------------------------------</w:t>
      </w:r>
    </w:p>
    <w:p w14:paraId="6430B5E0" w14:textId="77777777" w:rsidR="003D7996" w:rsidRPr="000663C2" w:rsidRDefault="003D7996" w:rsidP="002F6A3A">
      <w:pPr>
        <w:ind w:right="-98" w:firstLine="720"/>
        <w:jc w:val="thaiDistribute"/>
        <w:rPr>
          <w:rFonts w:ascii="DilleniaUPC" w:hAnsi="DilleniaUPC" w:cs="DilleniaUPC"/>
          <w:color w:val="000000" w:themeColor="text1"/>
          <w:sz w:val="16"/>
          <w:szCs w:val="16"/>
        </w:rPr>
      </w:pPr>
    </w:p>
    <w:p w14:paraId="3BBE4CE2" w14:textId="3CF4F8D2" w:rsidR="00932A3D" w:rsidRPr="000663C2" w:rsidRDefault="00626BAF" w:rsidP="00947E14">
      <w:pPr>
        <w:ind w:right="-64" w:firstLine="720"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  <w:r w:rsidRPr="000663C2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โดยที่เห็นสมควรให้มีการทบทวนหลักเกณฑ์</w:t>
      </w:r>
      <w:r w:rsidR="00A12389" w:rsidRPr="000663C2">
        <w:rPr>
          <w:rFonts w:ascii="DilleniaUPC" w:hAnsi="DilleniaUPC" w:cs="DilleniaUPC"/>
          <w:color w:val="000000" w:themeColor="text1"/>
          <w:sz w:val="30"/>
          <w:szCs w:val="30"/>
          <w:cs/>
        </w:rPr>
        <w:t>เกี่ยวกับการ</w:t>
      </w:r>
      <w:r w:rsidR="00A33644" w:rsidRPr="000663C2">
        <w:rPr>
          <w:rFonts w:ascii="DilleniaUPC" w:hAnsi="DilleniaUPC" w:cs="DilleniaUPC"/>
          <w:color w:val="000000" w:themeColor="text1"/>
          <w:sz w:val="30"/>
          <w:szCs w:val="30"/>
          <w:cs/>
        </w:rPr>
        <w:t>ซื้อขายหลักทรัพย์ของสมาชิกหรือบริษัทที่มีส่วนเกี่ยวข้องกับสมาชิก</w:t>
      </w:r>
      <w:r w:rsidR="00A33644" w:rsidRPr="000663C2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</w:t>
      </w:r>
      <w:r w:rsidR="00A33644" w:rsidRPr="000663C2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ในฐานะนายหน้าหรือตัวแทนของลูกค้า </w:t>
      </w:r>
      <w:r w:rsidR="00932A3D" w:rsidRPr="000663C2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ในส่วนที่เกี่ยวกับการเปิดเผยให้ลูกค้าทราบถึงลักษณะที่อาจก่อให้เกิดความขัดแย้งทางผลประโยชน์</w:t>
      </w:r>
      <w:r w:rsidR="00932A3D" w:rsidRPr="000663C2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(</w:t>
      </w:r>
      <w:r w:rsidR="00932A3D" w:rsidRPr="000663C2">
        <w:rPr>
          <w:rFonts w:ascii="DilleniaUPC" w:hAnsi="DilleniaUPC" w:cs="DilleniaUPC"/>
          <w:color w:val="000000" w:themeColor="text1"/>
          <w:sz w:val="30"/>
          <w:szCs w:val="30"/>
        </w:rPr>
        <w:t>Conflict of Interest</w:t>
      </w:r>
      <w:r w:rsidR="00932A3D" w:rsidRPr="000663C2">
        <w:rPr>
          <w:rFonts w:ascii="DilleniaUPC" w:hAnsi="DilleniaUPC" w:cs="DilleniaUPC"/>
          <w:color w:val="000000" w:themeColor="text1"/>
          <w:sz w:val="30"/>
          <w:szCs w:val="30"/>
          <w:cs/>
        </w:rPr>
        <w:t>)</w:t>
      </w:r>
      <w:r w:rsidR="00932A3D" w:rsidRPr="000663C2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</w:t>
      </w:r>
      <w:r w:rsidRPr="000663C2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เพื่อให้</w:t>
      </w:r>
      <w:r w:rsidR="00932A3D" w:rsidRPr="000663C2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มีระบบงานในการป้องกันความขัดแย้งทางผลประโยชน์</w:t>
      </w:r>
      <w:r w:rsidR="004520D5" w:rsidRPr="000663C2">
        <w:rPr>
          <w:rFonts w:ascii="DilleniaUPC" w:hAnsi="DilleniaUPC" w:cs="DilleniaUPC"/>
          <w:color w:val="000000" w:themeColor="text1"/>
          <w:sz w:val="30"/>
          <w:szCs w:val="30"/>
          <w:cs/>
        </w:rPr>
        <w:br/>
      </w:r>
      <w:r w:rsidR="00932A3D" w:rsidRPr="000663C2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ที่เหมาะสมและ</w:t>
      </w:r>
      <w:r w:rsidRPr="000663C2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สอดคล้องกับการปฏิบัติงานจริงของสมาชิก </w:t>
      </w:r>
    </w:p>
    <w:p w14:paraId="0E985345" w14:textId="033B9CF7" w:rsidR="00643429" w:rsidRPr="000663C2" w:rsidRDefault="00932A3D" w:rsidP="00947E14">
      <w:pPr>
        <w:ind w:right="-64" w:firstLine="720"/>
        <w:jc w:val="thaiDistribute"/>
        <w:rPr>
          <w:rFonts w:ascii="DilleniaUPC" w:hAnsi="DilleniaUPC" w:cs="DilleniaUPC"/>
          <w:color w:val="000000" w:themeColor="text1"/>
          <w:sz w:val="30"/>
          <w:szCs w:val="30"/>
          <w:cs/>
        </w:rPr>
      </w:pPr>
      <w:r w:rsidRPr="000663C2">
        <w:rPr>
          <w:rFonts w:ascii="DilleniaUPC" w:hAnsi="DilleniaUPC" w:cs="DilleniaUPC"/>
          <w:color w:val="000000" w:themeColor="text1"/>
          <w:sz w:val="30"/>
          <w:szCs w:val="30"/>
          <w:cs/>
        </w:rPr>
        <w:t>สมาคมบริษัทหลักทรัพย์ไทยจึงกำหนดหลักเกณฑ์และวิธีการเกี่ยวกับ</w:t>
      </w:r>
      <w:r w:rsidRPr="000663C2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การเปิดเผยให้ลูกค้าทราบถึงลักษณะที่อาจก่อให้เกิดความขัดแย้งทางผลประโยชน์</w:t>
      </w:r>
      <w:r w:rsidRPr="000663C2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(</w:t>
      </w:r>
      <w:r w:rsidRPr="000663C2">
        <w:rPr>
          <w:rFonts w:ascii="DilleniaUPC" w:hAnsi="DilleniaUPC" w:cs="DilleniaUPC"/>
          <w:color w:val="000000" w:themeColor="text1"/>
          <w:sz w:val="30"/>
          <w:szCs w:val="30"/>
        </w:rPr>
        <w:t>Conflict of Interest</w:t>
      </w:r>
      <w:r w:rsidRPr="000663C2">
        <w:rPr>
          <w:rFonts w:ascii="DilleniaUPC" w:hAnsi="DilleniaUPC" w:cs="DilleniaUPC"/>
          <w:color w:val="000000" w:themeColor="text1"/>
          <w:sz w:val="30"/>
          <w:szCs w:val="30"/>
          <w:cs/>
        </w:rPr>
        <w:t>)</w:t>
      </w:r>
      <w:r w:rsidRPr="000663C2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</w:t>
      </w:r>
      <w:r w:rsidR="00002201" w:rsidRPr="000663C2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ด้วย</w:t>
      </w:r>
      <w:r w:rsidR="00A10062" w:rsidRPr="000663C2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ความเห็นชอบของตลาดหลักทรัพย์แห่งประเทศไทย </w:t>
      </w:r>
      <w:r w:rsidR="00A33644" w:rsidRPr="000663C2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ตาม</w:t>
      </w:r>
      <w:r w:rsidR="00E40515" w:rsidRPr="000663C2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ความใน</w:t>
      </w:r>
      <w:r w:rsidR="00A33644" w:rsidRPr="000663C2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ประกาศ</w:t>
      </w:r>
      <w:r w:rsidR="00A12389" w:rsidRPr="000663C2">
        <w:rPr>
          <w:rFonts w:ascii="DilleniaUPC" w:hAnsi="DilleniaUPC" w:cs="DilleniaUPC"/>
          <w:color w:val="000000" w:themeColor="text1"/>
          <w:sz w:val="30"/>
          <w:szCs w:val="30"/>
          <w:cs/>
        </w:rPr>
        <w:t>ตลาดหลักทรัพย์แห่งประเทศไทย</w:t>
      </w:r>
      <w:r w:rsidR="00513FD6" w:rsidRPr="000663C2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ว่าด้วย</w:t>
      </w:r>
      <w:r w:rsidR="003C5BEC" w:rsidRPr="000663C2">
        <w:rPr>
          <w:rFonts w:ascii="DilleniaUPC" w:hAnsi="DilleniaUPC" w:cs="DilleniaUPC"/>
          <w:color w:val="000000" w:themeColor="text1"/>
          <w:sz w:val="30"/>
          <w:szCs w:val="30"/>
          <w:cs/>
        </w:rPr>
        <w:t>วิธีปฏิบัติที่เกี่ยวกับ</w:t>
      </w:r>
      <w:r w:rsidR="006661F1" w:rsidRPr="000663C2">
        <w:rPr>
          <w:rFonts w:ascii="DilleniaUPC" w:hAnsi="DilleniaUPC" w:cs="DilleniaUPC"/>
          <w:color w:val="000000" w:themeColor="text1"/>
          <w:sz w:val="30"/>
          <w:szCs w:val="30"/>
          <w:cs/>
        </w:rPr>
        <w:t>การซื้อขาย</w:t>
      </w:r>
      <w:r w:rsidR="003C5BEC" w:rsidRPr="000663C2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การชำระราคา</w:t>
      </w:r>
      <w:r w:rsidR="00947E14" w:rsidRPr="000663C2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</w:t>
      </w:r>
      <w:r w:rsidR="003C5BEC" w:rsidRPr="000663C2">
        <w:rPr>
          <w:rFonts w:ascii="DilleniaUPC" w:hAnsi="DilleniaUPC" w:cs="DilleniaUPC"/>
          <w:color w:val="000000" w:themeColor="text1"/>
          <w:sz w:val="30"/>
          <w:szCs w:val="30"/>
          <w:cs/>
        </w:rPr>
        <w:t>และการส่งมอบ</w:t>
      </w:r>
      <w:r w:rsidR="006661F1" w:rsidRPr="000663C2">
        <w:rPr>
          <w:rFonts w:ascii="DilleniaUPC" w:hAnsi="DilleniaUPC" w:cs="DilleniaUPC"/>
          <w:color w:val="000000" w:themeColor="text1"/>
          <w:sz w:val="30"/>
          <w:szCs w:val="30"/>
          <w:cs/>
        </w:rPr>
        <w:t>หลักทรัพย์</w:t>
      </w:r>
      <w:r w:rsidR="009B2202" w:rsidRPr="000663C2">
        <w:rPr>
          <w:rFonts w:ascii="DilleniaUPC" w:hAnsi="DilleniaUPC" w:cs="DilleniaUPC"/>
          <w:color w:val="000000" w:themeColor="text1"/>
          <w:sz w:val="30"/>
          <w:szCs w:val="30"/>
          <w:cs/>
        </w:rPr>
        <w:t>ในตลาดหลักทรัพย์</w:t>
      </w:r>
      <w:r w:rsidR="00F85AF8" w:rsidRPr="000663C2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</w:t>
      </w:r>
      <w:r w:rsidR="00037490" w:rsidRPr="000663C2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ข้อ 88 (3) </w:t>
      </w:r>
      <w:r w:rsidR="00513FD6" w:rsidRPr="000663C2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ในส่วนที่เกี่ยวกับข้อปฏ</w:t>
      </w:r>
      <w:r w:rsidRPr="000663C2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ิบัติของ</w:t>
      </w:r>
      <w:r w:rsidR="00513FD6" w:rsidRPr="000663C2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สมาชิก</w:t>
      </w:r>
      <w:r w:rsidRPr="000663C2">
        <w:rPr>
          <w:rFonts w:ascii="DilleniaUPC" w:hAnsi="DilleniaUPC" w:cs="DilleniaUPC"/>
          <w:color w:val="000000" w:themeColor="text1"/>
          <w:sz w:val="30"/>
          <w:szCs w:val="30"/>
          <w:cs/>
        </w:rPr>
        <w:t>หรือบริษัทที่มีส่วนเกี่ยวข้องกับสมาชิก</w:t>
      </w:r>
      <w:r w:rsidRPr="000663C2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</w:t>
      </w:r>
      <w:r w:rsidR="000663C2">
        <w:rPr>
          <w:rFonts w:ascii="DilleniaUPC" w:hAnsi="DilleniaUPC" w:cs="DilleniaUPC"/>
          <w:color w:val="000000" w:themeColor="text1"/>
          <w:sz w:val="30"/>
          <w:szCs w:val="30"/>
          <w:cs/>
        </w:rPr>
        <w:br/>
      </w:r>
      <w:r w:rsidR="00513FD6" w:rsidRPr="000663C2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ในการเปิดเผยให้ลูกค้าทราบถึงลักษณะที่อาจก่อให้เกิดความขัดแย้งทางผลประโยชน์</w:t>
      </w:r>
      <w:r w:rsidR="00513FD6" w:rsidRPr="000663C2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(</w:t>
      </w:r>
      <w:r w:rsidR="00513FD6" w:rsidRPr="000663C2">
        <w:rPr>
          <w:rFonts w:ascii="DilleniaUPC" w:hAnsi="DilleniaUPC" w:cs="DilleniaUPC"/>
          <w:color w:val="000000" w:themeColor="text1"/>
          <w:sz w:val="30"/>
          <w:szCs w:val="30"/>
        </w:rPr>
        <w:t>Conflict of Interest</w:t>
      </w:r>
      <w:r w:rsidR="00513FD6" w:rsidRPr="000663C2">
        <w:rPr>
          <w:rFonts w:ascii="DilleniaUPC" w:hAnsi="DilleniaUPC" w:cs="DilleniaUPC"/>
          <w:color w:val="000000" w:themeColor="text1"/>
          <w:sz w:val="30"/>
          <w:szCs w:val="30"/>
          <w:cs/>
        </w:rPr>
        <w:t>)</w:t>
      </w:r>
      <w:r w:rsidRPr="000663C2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</w:t>
      </w:r>
      <w:r w:rsidR="00A12389" w:rsidRPr="000663C2">
        <w:rPr>
          <w:rFonts w:ascii="DilleniaUPC" w:hAnsi="DilleniaUPC" w:cs="DilleniaUPC"/>
          <w:color w:val="000000" w:themeColor="text1"/>
          <w:sz w:val="30"/>
          <w:szCs w:val="30"/>
          <w:cs/>
        </w:rPr>
        <w:t>เพื่อให้สมาชิกถือปฏิบัติ ดังนี้</w:t>
      </w:r>
    </w:p>
    <w:p w14:paraId="04BF3764" w14:textId="77777777" w:rsidR="00FD5BD8" w:rsidRPr="000663C2" w:rsidRDefault="00FD5BD8" w:rsidP="00FD5BD8">
      <w:pPr>
        <w:ind w:right="-64"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</w:p>
    <w:p w14:paraId="36BCA915" w14:textId="77777777" w:rsidR="00D84B27" w:rsidRPr="000663C2" w:rsidRDefault="00D84B27" w:rsidP="00A26CB0">
      <w:pPr>
        <w:tabs>
          <w:tab w:val="left" w:pos="1276"/>
        </w:tabs>
        <w:ind w:right="-64" w:firstLine="720"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  <w:r w:rsidRPr="000663C2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ข้อ 1</w:t>
      </w:r>
      <w:r w:rsidR="003D7996" w:rsidRPr="000663C2">
        <w:rPr>
          <w:rFonts w:ascii="DilleniaUPC" w:hAnsi="DilleniaUPC" w:cs="DilleniaUPC"/>
          <w:color w:val="000000" w:themeColor="text1"/>
          <w:sz w:val="30"/>
          <w:szCs w:val="30"/>
          <w:cs/>
        </w:rPr>
        <w:tab/>
      </w:r>
      <w:r w:rsidRPr="000663C2">
        <w:rPr>
          <w:rFonts w:ascii="DilleniaUPC" w:hAnsi="DilleniaUPC" w:cs="DilleniaUPC"/>
          <w:color w:val="000000" w:themeColor="text1"/>
          <w:sz w:val="30"/>
          <w:szCs w:val="30"/>
          <w:cs/>
        </w:rPr>
        <w:t>ให้ยกเลิกประกา</w:t>
      </w:r>
      <w:r w:rsidRPr="000663C2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ศสมาคมบริษัทหลักทรัพย์ไทย เรื่อง </w:t>
      </w:r>
      <w:r w:rsidRPr="000663C2">
        <w:rPr>
          <w:rFonts w:ascii="DilleniaUPC" w:hAnsi="DilleniaUPC" w:cs="DilleniaUPC"/>
          <w:color w:val="000000" w:themeColor="text1"/>
          <w:sz w:val="30"/>
          <w:szCs w:val="30"/>
          <w:cs/>
        </w:rPr>
        <w:t>การซื้อขายหลักทรัพย์ของสมาชิกหรือบริษัทที่มีส่วนเกี่ยวข้องกับสมาชิก</w:t>
      </w:r>
      <w:r w:rsidRPr="000663C2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</w:t>
      </w:r>
      <w:r w:rsidRPr="000663C2">
        <w:rPr>
          <w:rFonts w:ascii="DilleniaUPC" w:hAnsi="DilleniaUPC" w:cs="DilleniaUPC"/>
          <w:color w:val="000000" w:themeColor="text1"/>
          <w:sz w:val="30"/>
          <w:szCs w:val="30"/>
          <w:cs/>
        </w:rPr>
        <w:t>ในฐานะนายหน้าหรือตัวแทนของลูกค้า</w:t>
      </w:r>
      <w:r w:rsidRPr="000663C2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ลง</w:t>
      </w:r>
      <w:r w:rsidRPr="000663C2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วันที่ </w:t>
      </w:r>
      <w:r w:rsidRPr="000663C2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29 กรกฎาคม</w:t>
      </w:r>
      <w:r w:rsidRPr="000663C2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2556</w:t>
      </w:r>
    </w:p>
    <w:p w14:paraId="7EAF557B" w14:textId="77777777" w:rsidR="00D84B27" w:rsidRPr="000663C2" w:rsidRDefault="00D84B27" w:rsidP="00D84B27">
      <w:pPr>
        <w:ind w:right="-64"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</w:p>
    <w:p w14:paraId="276F3B22" w14:textId="77777777" w:rsidR="00843A5A" w:rsidRPr="000663C2" w:rsidRDefault="003D7996" w:rsidP="003D7996">
      <w:pPr>
        <w:tabs>
          <w:tab w:val="left" w:pos="1276"/>
        </w:tabs>
        <w:ind w:right="-64" w:firstLine="709"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  <w:r w:rsidRPr="000663C2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ข้อ 2</w:t>
      </w:r>
      <w:r w:rsidRPr="000663C2">
        <w:rPr>
          <w:rFonts w:ascii="DilleniaUPC" w:hAnsi="DilleniaUPC" w:cs="DilleniaUPC"/>
          <w:color w:val="000000" w:themeColor="text1"/>
          <w:sz w:val="30"/>
          <w:szCs w:val="30"/>
          <w:cs/>
        </w:rPr>
        <w:tab/>
      </w:r>
      <w:r w:rsidR="00843A5A" w:rsidRPr="000663C2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ในประกาศนี้</w:t>
      </w:r>
    </w:p>
    <w:p w14:paraId="713C4D1B" w14:textId="77777777" w:rsidR="00843A5A" w:rsidRPr="000663C2" w:rsidRDefault="00843A5A" w:rsidP="00843A5A">
      <w:pPr>
        <w:ind w:left="709" w:right="-64" w:firstLine="11"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  <w:r w:rsidRPr="000663C2">
        <w:rPr>
          <w:rFonts w:ascii="DilleniaUPC" w:hAnsi="DilleniaUPC" w:cs="DilleniaUPC"/>
          <w:color w:val="000000" w:themeColor="text1"/>
          <w:sz w:val="30"/>
          <w:szCs w:val="30"/>
          <w:cs/>
        </w:rPr>
        <w:t>“</w:t>
      </w:r>
      <w:r w:rsidRPr="000663C2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ตลาดหลักทรัพย์</w:t>
      </w:r>
      <w:r w:rsidRPr="000663C2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” </w:t>
      </w:r>
      <w:r w:rsidRPr="000663C2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หมายความว่า ตลาดหลักทรัพย์แห่งประเทศไทย</w:t>
      </w:r>
    </w:p>
    <w:p w14:paraId="31670922" w14:textId="77777777" w:rsidR="00843A5A" w:rsidRPr="000663C2" w:rsidRDefault="00A008A2" w:rsidP="00843A5A">
      <w:pPr>
        <w:ind w:left="709" w:right="-64" w:firstLine="11"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  <w:r w:rsidRPr="000663C2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“</w:t>
      </w:r>
      <w:r w:rsidR="00843A5A" w:rsidRPr="000663C2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สมาชิก</w:t>
      </w:r>
      <w:r w:rsidR="00843A5A" w:rsidRPr="000663C2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” </w:t>
      </w:r>
      <w:r w:rsidR="00843A5A" w:rsidRPr="000663C2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หมายความว่า สมาชิกสมาคมบริษัทหลักทรัพย์ไทย</w:t>
      </w:r>
      <w:r w:rsidR="00D86DCC" w:rsidRPr="000663C2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ที่ประกอบธุรกิจนายหน้าซื้อขายหลักทรัพย์</w:t>
      </w:r>
    </w:p>
    <w:p w14:paraId="58D62ECC" w14:textId="6E4A8208" w:rsidR="00990AC4" w:rsidRPr="000663C2" w:rsidRDefault="00990AC4" w:rsidP="000663C2">
      <w:pPr>
        <w:ind w:right="-64" w:firstLine="720"/>
        <w:jc w:val="thaiDistribute"/>
        <w:rPr>
          <w:rFonts w:ascii="DilleniaUPC" w:hAnsi="DilleniaUPC" w:cs="DilleniaUPC"/>
          <w:color w:val="000000" w:themeColor="text1"/>
          <w:sz w:val="30"/>
          <w:szCs w:val="30"/>
          <w:cs/>
        </w:rPr>
      </w:pPr>
      <w:r w:rsidRPr="000663C2">
        <w:rPr>
          <w:rFonts w:ascii="DilleniaUPC" w:hAnsi="DilleniaUPC" w:cs="DilleniaUPC"/>
          <w:color w:val="000000" w:themeColor="text1"/>
          <w:sz w:val="30"/>
          <w:szCs w:val="30"/>
          <w:cs/>
        </w:rPr>
        <w:t>“</w:t>
      </w:r>
      <w:r w:rsidRPr="000663C2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หลักทรัพย์ที่</w:t>
      </w:r>
      <w:r w:rsidR="002D5B45" w:rsidRPr="000663C2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สมาชิก</w:t>
      </w:r>
      <w:r w:rsidRPr="000663C2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มีส่วนเกี่ยวข้อง</w:t>
      </w:r>
      <w:r w:rsidRPr="000663C2">
        <w:rPr>
          <w:rFonts w:ascii="DilleniaUPC" w:hAnsi="DilleniaUPC" w:cs="DilleniaUPC"/>
          <w:color w:val="000000" w:themeColor="text1"/>
          <w:sz w:val="30"/>
          <w:szCs w:val="30"/>
          <w:cs/>
        </w:rPr>
        <w:t>”</w:t>
      </w:r>
      <w:r w:rsidRPr="000663C2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หมายความว่า </w:t>
      </w:r>
      <w:r w:rsidRPr="000663C2">
        <w:rPr>
          <w:rFonts w:ascii="DilleniaUPC" w:hAnsi="DilleniaUPC" w:cs="DilleniaUPC"/>
          <w:color w:val="000000" w:themeColor="text1"/>
          <w:sz w:val="30"/>
          <w:szCs w:val="30"/>
          <w:cs/>
        </w:rPr>
        <w:t>หลักทรัพย์ของบริษัทตนเองหรือบริษัทที่มีส่วนเกี่ยวข้อง</w:t>
      </w:r>
      <w:r w:rsidR="000663C2" w:rsidRPr="000663C2">
        <w:rPr>
          <w:rFonts w:ascii="DilleniaUPC" w:hAnsi="DilleniaUPC" w:cs="DilleniaUPC"/>
          <w:color w:val="000000" w:themeColor="text1"/>
          <w:sz w:val="30"/>
          <w:szCs w:val="30"/>
          <w:cs/>
        </w:rPr>
        <w:br/>
      </w:r>
      <w:r w:rsidRPr="000663C2">
        <w:rPr>
          <w:rFonts w:ascii="DilleniaUPC" w:hAnsi="DilleniaUPC" w:cs="DilleniaUPC"/>
          <w:color w:val="000000" w:themeColor="text1"/>
          <w:sz w:val="30"/>
          <w:szCs w:val="30"/>
          <w:cs/>
        </w:rPr>
        <w:t>กับสมาชิก</w:t>
      </w:r>
    </w:p>
    <w:p w14:paraId="2BCE32F5" w14:textId="77777777" w:rsidR="00D01B50" w:rsidRPr="000663C2" w:rsidRDefault="00D01B50" w:rsidP="00D01B50">
      <w:pPr>
        <w:ind w:right="-64" w:firstLine="709"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  <w:r w:rsidRPr="000663C2">
        <w:rPr>
          <w:rFonts w:ascii="DilleniaUPC" w:hAnsi="DilleniaUPC" w:cs="DilleniaUPC"/>
          <w:color w:val="000000" w:themeColor="text1"/>
          <w:sz w:val="30"/>
          <w:szCs w:val="30"/>
          <w:cs/>
        </w:rPr>
        <w:t>“บริษัทที่มีส่วนเกี่ยวข้องกับสมาชิก” หมายความว่า</w:t>
      </w:r>
      <w:r w:rsidR="00990AC4" w:rsidRPr="000663C2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</w:t>
      </w:r>
    </w:p>
    <w:p w14:paraId="2085BB98" w14:textId="77777777" w:rsidR="00D01B50" w:rsidRPr="000663C2" w:rsidRDefault="00D01B50" w:rsidP="000663C2">
      <w:pPr>
        <w:tabs>
          <w:tab w:val="left" w:pos="1134"/>
          <w:tab w:val="left" w:pos="1701"/>
        </w:tabs>
        <w:ind w:right="-64" w:firstLine="1260"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  <w:r w:rsidRPr="000663C2">
        <w:rPr>
          <w:rFonts w:ascii="DilleniaUPC" w:hAnsi="DilleniaUPC" w:cs="DilleniaUPC"/>
          <w:color w:val="000000" w:themeColor="text1"/>
          <w:sz w:val="30"/>
          <w:szCs w:val="30"/>
          <w:cs/>
        </w:rPr>
        <w:t>(</w:t>
      </w:r>
      <w:r w:rsidRPr="000663C2">
        <w:rPr>
          <w:rFonts w:ascii="DilleniaUPC" w:hAnsi="DilleniaUPC" w:cs="DilleniaUPC"/>
          <w:color w:val="000000" w:themeColor="text1"/>
          <w:sz w:val="30"/>
          <w:szCs w:val="30"/>
        </w:rPr>
        <w:t>1</w:t>
      </w:r>
      <w:r w:rsidRPr="000663C2">
        <w:rPr>
          <w:rFonts w:ascii="DilleniaUPC" w:hAnsi="DilleniaUPC" w:cs="DilleniaUPC"/>
          <w:color w:val="000000" w:themeColor="text1"/>
          <w:sz w:val="30"/>
          <w:szCs w:val="30"/>
          <w:cs/>
        </w:rPr>
        <w:t>)</w:t>
      </w:r>
      <w:r w:rsidR="003D7996" w:rsidRPr="000663C2">
        <w:rPr>
          <w:rFonts w:ascii="DilleniaUPC" w:hAnsi="DilleniaUPC" w:cs="DilleniaUPC"/>
          <w:color w:val="000000" w:themeColor="text1"/>
          <w:sz w:val="30"/>
          <w:szCs w:val="30"/>
          <w:cs/>
        </w:rPr>
        <w:tab/>
      </w:r>
      <w:r w:rsidRPr="000663C2">
        <w:rPr>
          <w:rFonts w:ascii="DilleniaUPC" w:hAnsi="DilleniaUPC" w:cs="DilleniaUPC"/>
          <w:color w:val="000000" w:themeColor="text1"/>
          <w:sz w:val="30"/>
          <w:szCs w:val="30"/>
          <w:cs/>
        </w:rPr>
        <w:t>บริษัทที่ถือหุ้นในสมาชิกหรือบริษัทที่สมาชิกถือหุ้นในบริษัทนั้น โดยการถือหุ้นดังกล่าวทำให้บริษัทหรือสมาชิกที่ถือหุ้นมีสิทธิในการออกเสียงเกินกึ่งหนึ่งไม่ว่าโดยทางตรงหรือทางอ้อม หรือ</w:t>
      </w:r>
    </w:p>
    <w:p w14:paraId="457A80D9" w14:textId="77777777" w:rsidR="00D01B50" w:rsidRPr="000663C2" w:rsidRDefault="00D01B50" w:rsidP="000663C2">
      <w:pPr>
        <w:tabs>
          <w:tab w:val="left" w:pos="1134"/>
          <w:tab w:val="left" w:pos="1701"/>
        </w:tabs>
        <w:ind w:right="-64" w:firstLine="1260"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  <w:r w:rsidRPr="000663C2">
        <w:rPr>
          <w:rFonts w:ascii="DilleniaUPC" w:hAnsi="DilleniaUPC" w:cs="DilleniaUPC"/>
          <w:color w:val="000000" w:themeColor="text1"/>
          <w:sz w:val="30"/>
          <w:szCs w:val="30"/>
          <w:cs/>
        </w:rPr>
        <w:t>(</w:t>
      </w:r>
      <w:r w:rsidRPr="000663C2">
        <w:rPr>
          <w:rFonts w:ascii="DilleniaUPC" w:hAnsi="DilleniaUPC" w:cs="DilleniaUPC"/>
          <w:color w:val="000000" w:themeColor="text1"/>
          <w:sz w:val="30"/>
          <w:szCs w:val="30"/>
        </w:rPr>
        <w:t>2</w:t>
      </w:r>
      <w:r w:rsidRPr="000663C2">
        <w:rPr>
          <w:rFonts w:ascii="DilleniaUPC" w:hAnsi="DilleniaUPC" w:cs="DilleniaUPC"/>
          <w:color w:val="000000" w:themeColor="text1"/>
          <w:sz w:val="30"/>
          <w:szCs w:val="30"/>
          <w:cs/>
        </w:rPr>
        <w:t>)</w:t>
      </w:r>
      <w:r w:rsidR="003D7996" w:rsidRPr="000663C2">
        <w:rPr>
          <w:rFonts w:ascii="DilleniaUPC" w:hAnsi="DilleniaUPC" w:cs="DilleniaUPC"/>
          <w:color w:val="000000" w:themeColor="text1"/>
          <w:sz w:val="30"/>
          <w:szCs w:val="30"/>
          <w:cs/>
        </w:rPr>
        <w:tab/>
      </w:r>
      <w:r w:rsidRPr="000663C2">
        <w:rPr>
          <w:rFonts w:ascii="DilleniaUPC" w:hAnsi="DilleniaUPC" w:cs="DilleniaUPC"/>
          <w:color w:val="000000" w:themeColor="text1"/>
          <w:sz w:val="30"/>
          <w:szCs w:val="30"/>
          <w:cs/>
        </w:rPr>
        <w:t>บริษัทที่มีอำนาจควบคุมในสมาชิกซึ่งโดยพฤติการณ์มีอิทธิพลต่อการกำหนดนโยบายการจัดการหรือการดำเนินงานของบริษัทอย่างมีนัยสำคัญ หรือบริษัทที่สมาชิกมีอำนาจควบคุมบริษัทนั้นในลักษณะเช่นเดียวกัน หรือ</w:t>
      </w:r>
    </w:p>
    <w:p w14:paraId="07ADDB61" w14:textId="77777777" w:rsidR="00D01B50" w:rsidRPr="000663C2" w:rsidRDefault="00D01B50" w:rsidP="000663C2">
      <w:pPr>
        <w:tabs>
          <w:tab w:val="left" w:pos="1134"/>
          <w:tab w:val="left" w:pos="1701"/>
        </w:tabs>
        <w:ind w:right="-64" w:firstLine="1260"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  <w:r w:rsidRPr="000663C2">
        <w:rPr>
          <w:rFonts w:ascii="DilleniaUPC" w:hAnsi="DilleniaUPC" w:cs="DilleniaUPC"/>
          <w:color w:val="000000" w:themeColor="text1"/>
          <w:sz w:val="30"/>
          <w:szCs w:val="30"/>
          <w:cs/>
        </w:rPr>
        <w:lastRenderedPageBreak/>
        <w:t>(</w:t>
      </w:r>
      <w:r w:rsidRPr="000663C2">
        <w:rPr>
          <w:rFonts w:ascii="DilleniaUPC" w:hAnsi="DilleniaUPC" w:cs="DilleniaUPC"/>
          <w:color w:val="000000" w:themeColor="text1"/>
          <w:sz w:val="30"/>
          <w:szCs w:val="30"/>
        </w:rPr>
        <w:t>3</w:t>
      </w:r>
      <w:r w:rsidRPr="000663C2">
        <w:rPr>
          <w:rFonts w:ascii="DilleniaUPC" w:hAnsi="DilleniaUPC" w:cs="DilleniaUPC"/>
          <w:color w:val="000000" w:themeColor="text1"/>
          <w:sz w:val="30"/>
          <w:szCs w:val="30"/>
          <w:cs/>
        </w:rPr>
        <w:t>)</w:t>
      </w:r>
      <w:r w:rsidR="003D7996" w:rsidRPr="000663C2">
        <w:rPr>
          <w:rFonts w:ascii="DilleniaUPC" w:hAnsi="DilleniaUPC" w:cs="DilleniaUPC"/>
          <w:color w:val="000000" w:themeColor="text1"/>
          <w:sz w:val="30"/>
          <w:szCs w:val="30"/>
          <w:cs/>
        </w:rPr>
        <w:tab/>
      </w:r>
      <w:r w:rsidRPr="000663C2">
        <w:rPr>
          <w:rFonts w:ascii="DilleniaUPC" w:hAnsi="DilleniaUPC" w:cs="DilleniaUPC"/>
          <w:color w:val="000000" w:themeColor="text1"/>
          <w:sz w:val="30"/>
          <w:szCs w:val="30"/>
          <w:cs/>
        </w:rPr>
        <w:t>บริษัทที่มีผู้แทนของบริษัทนั้นเป็นกรรมการเกินกึ่งหนึ่งของจำนวนกรรมการทั้งหมดของสมาชิก หรือบริษัทที่มีผู้แทนของสมาชิกเป็นกรรมการเกินกึ่งหนึ่งของจำนวนกรรมการทั้งหมดของบริษัทนั้น</w:t>
      </w:r>
    </w:p>
    <w:p w14:paraId="33C5C3D9" w14:textId="77777777" w:rsidR="00843A5A" w:rsidRPr="000663C2" w:rsidRDefault="00843A5A" w:rsidP="00D84B27">
      <w:pPr>
        <w:ind w:right="-64" w:firstLine="720"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  <w:r w:rsidRPr="000663C2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นอกเหนือจากคำที่</w:t>
      </w:r>
      <w:r w:rsidR="00A71F69" w:rsidRPr="000663C2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กำหนด</w:t>
      </w:r>
      <w:r w:rsidRPr="000663C2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ไว้ข้างต้น ให้คำที่ปรากฏในประกาศฉบับนี้มีความหมายเป็นไปตามนิยามที่กำหนดไว้ใน</w:t>
      </w:r>
      <w:r w:rsidR="00626BAF" w:rsidRPr="000663C2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ข้อ</w:t>
      </w:r>
      <w:r w:rsidR="00A71F69" w:rsidRPr="000663C2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กำหนด</w:t>
      </w:r>
      <w:r w:rsidR="00626BAF" w:rsidRPr="000663C2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ตลาดหลักทรัพย์</w:t>
      </w:r>
      <w:r w:rsidR="00932A3D" w:rsidRPr="000663C2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ว่าด้วย</w:t>
      </w:r>
      <w:r w:rsidR="00CC0227" w:rsidRPr="000663C2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การซื้อขาย การชำระราคาและการส่งมอบหลักทรัพย์ในตลาดหลักทรัพย์ </w:t>
      </w:r>
    </w:p>
    <w:p w14:paraId="44F72ABB" w14:textId="77777777" w:rsidR="00D84B27" w:rsidRPr="000663C2" w:rsidRDefault="00D84B27" w:rsidP="00843A5A">
      <w:pPr>
        <w:tabs>
          <w:tab w:val="left" w:pos="426"/>
        </w:tabs>
        <w:ind w:left="426" w:right="-64" w:firstLine="283"/>
        <w:jc w:val="thaiDistribute"/>
        <w:rPr>
          <w:rFonts w:ascii="DilleniaUPC" w:hAnsi="DilleniaUPC" w:cs="DilleniaUPC"/>
          <w:color w:val="000000" w:themeColor="text1"/>
          <w:sz w:val="30"/>
          <w:szCs w:val="30"/>
          <w:cs/>
        </w:rPr>
      </w:pPr>
    </w:p>
    <w:p w14:paraId="592F2C09" w14:textId="509FF223" w:rsidR="00AC61B5" w:rsidRPr="00FB7F65" w:rsidRDefault="00D84B27" w:rsidP="00AC61B5">
      <w:pPr>
        <w:tabs>
          <w:tab w:val="left" w:pos="1276"/>
        </w:tabs>
        <w:ind w:right="-64" w:firstLine="720"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  <w:r w:rsidRPr="00FB7F65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ข้อ 3</w:t>
      </w:r>
      <w:r w:rsidR="003D7996" w:rsidRPr="00FB7F65">
        <w:rPr>
          <w:rFonts w:ascii="DilleniaUPC" w:hAnsi="DilleniaUPC" w:cs="DilleniaUPC"/>
          <w:color w:val="000000" w:themeColor="text1"/>
          <w:sz w:val="30"/>
          <w:szCs w:val="30"/>
          <w:cs/>
        </w:rPr>
        <w:tab/>
      </w:r>
      <w:r w:rsidR="00AC61B5" w:rsidRPr="00FB7F65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ในกรณีที่สมาชิกทำการซื้อขายหลักทรัพย์</w:t>
      </w:r>
      <w:r w:rsidR="000663C2" w:rsidRPr="00FB7F65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ที่สมาชิก</w:t>
      </w:r>
      <w:r w:rsidR="00AC61B5" w:rsidRPr="00FB7F65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มีส่วนเกี่ยวข้องในฐานะนายหน้าหรือตัวแทนของลูกค้า ให้สมาชิกดำเนินการอย่างใดอย่างหนึ่งดังต่อไปนี้</w:t>
      </w:r>
    </w:p>
    <w:p w14:paraId="01B948E3" w14:textId="5FEC6D7C" w:rsidR="00AC61B5" w:rsidRPr="00FB7F65" w:rsidRDefault="00AC61B5" w:rsidP="0015375E">
      <w:pPr>
        <w:pStyle w:val="ListParagraph"/>
        <w:numPr>
          <w:ilvl w:val="1"/>
          <w:numId w:val="7"/>
        </w:numPr>
        <w:tabs>
          <w:tab w:val="left" w:pos="1701"/>
        </w:tabs>
        <w:ind w:left="1701" w:right="-64" w:hanging="425"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  <w:r w:rsidRPr="00FB7F65">
        <w:rPr>
          <w:rFonts w:ascii="DilleniaUPC" w:hAnsi="DilleniaUPC" w:cs="DilleniaUPC"/>
          <w:color w:val="000000" w:themeColor="text1"/>
          <w:sz w:val="30"/>
          <w:szCs w:val="30"/>
          <w:cs/>
        </w:rPr>
        <w:t>เปิดเผยให้ลูกค้าทราบถึงลักษณะที่อาจก่อให้เกิดความขัดแย้งทางผลประโยชน์ (</w:t>
      </w:r>
      <w:r w:rsidRPr="00FB7F65">
        <w:rPr>
          <w:rFonts w:ascii="DilleniaUPC" w:hAnsi="DilleniaUPC" w:cs="DilleniaUPC"/>
          <w:color w:val="000000" w:themeColor="text1"/>
          <w:sz w:val="30"/>
          <w:szCs w:val="30"/>
          <w:lang w:val="en-GB"/>
        </w:rPr>
        <w:t>Conflict of Interest</w:t>
      </w:r>
      <w:r w:rsidRPr="00FB7F65">
        <w:rPr>
          <w:rFonts w:ascii="DilleniaUPC" w:hAnsi="DilleniaUPC" w:cs="DilleniaUPC"/>
          <w:color w:val="000000" w:themeColor="text1"/>
          <w:sz w:val="30"/>
          <w:szCs w:val="30"/>
          <w:cs/>
        </w:rPr>
        <w:t>) เมื่อให้คำแนะนำหรือคำปรึกษาเกี่ยวกับการลงทุนในหลักทรัพย์ที่</w:t>
      </w:r>
      <w:r w:rsidR="00FB7F65" w:rsidRPr="00FB7F65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สมาชิก</w:t>
      </w:r>
      <w:r w:rsidRPr="00FB7F65">
        <w:rPr>
          <w:rFonts w:ascii="DilleniaUPC" w:hAnsi="DilleniaUPC" w:cs="DilleniaUPC"/>
          <w:color w:val="000000" w:themeColor="text1"/>
          <w:sz w:val="30"/>
          <w:szCs w:val="30"/>
          <w:cs/>
        </w:rPr>
        <w:t>มีส่วนเกี่ยวข้อง</w:t>
      </w:r>
    </w:p>
    <w:p w14:paraId="3C2DEA5B" w14:textId="7BFE9788" w:rsidR="00AC61B5" w:rsidRPr="00FB7F65" w:rsidRDefault="00AC61B5" w:rsidP="0015375E">
      <w:pPr>
        <w:pStyle w:val="ListParagraph"/>
        <w:numPr>
          <w:ilvl w:val="1"/>
          <w:numId w:val="7"/>
        </w:numPr>
        <w:tabs>
          <w:tab w:val="left" w:pos="1701"/>
        </w:tabs>
        <w:ind w:left="1701" w:right="-64" w:hanging="425"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  <w:r w:rsidRPr="00FB7F65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เปิดเผยให้ลูกค้าทราบถึงข้อมูลรายชื่อหลักทรัพย์และลักษณะที่อาจก่อให้เกิดความขัดแย้งทางผลประโยชน์ </w:t>
      </w:r>
      <w:r w:rsidR="00E07151" w:rsidRPr="00FB7F65">
        <w:rPr>
          <w:rFonts w:ascii="DilleniaUPC" w:hAnsi="DilleniaUPC" w:cs="DilleniaUPC"/>
          <w:color w:val="000000" w:themeColor="text1"/>
          <w:sz w:val="30"/>
          <w:szCs w:val="30"/>
          <w:cs/>
        </w:rPr>
        <w:t>(</w:t>
      </w:r>
      <w:r w:rsidR="00E07151" w:rsidRPr="00FB7F65">
        <w:rPr>
          <w:rFonts w:ascii="DilleniaUPC" w:hAnsi="DilleniaUPC" w:cs="DilleniaUPC"/>
          <w:color w:val="000000" w:themeColor="text1"/>
          <w:sz w:val="30"/>
          <w:szCs w:val="30"/>
          <w:lang w:val="en-GB"/>
        </w:rPr>
        <w:t>Conflict of Interest</w:t>
      </w:r>
      <w:r w:rsidR="00E07151" w:rsidRPr="00FB7F65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) </w:t>
      </w:r>
      <w:r w:rsidR="00E07151" w:rsidRPr="00FB7F65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เมื่อเปิดบัญชีเพื่อให้บริการแก่ลูกค้ารายใหม่ และเมื่อมีการเปลี่ยนแปลงรายชื่อหลักทรัพย์ดังกล่าว</w:t>
      </w:r>
      <w:r w:rsidRPr="00FB7F65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ให้แจ้งให้ลูกค้าทุกรายทราบโดยไม่ชักช้า </w:t>
      </w:r>
      <w:r w:rsidRPr="00FB7F65">
        <w:rPr>
          <w:rFonts w:ascii="DilleniaUPC" w:hAnsi="DilleniaUPC" w:cs="DilleniaUPC"/>
          <w:color w:val="000000" w:themeColor="text1"/>
          <w:sz w:val="30"/>
          <w:szCs w:val="30"/>
        </w:rPr>
        <w:t> </w:t>
      </w:r>
      <w:r w:rsidRPr="00FB7F65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รวมทั้งแจ้งให้ลูกค้าทุกรายรับทราบถึงข้อมูลความขัดแย้งทางผลประโยชน์อย่างน้อยทุก 6 เดือน โดยผ่านช่องทางการติดต่อที่เป็นทางการกับลูกค้าหรือเอกสารรายงานต่าง ๆ ที่จัดส่งให้ลูกค้าของบริษัท เช่น อีเมล ระบบบริการส่งข้อความผ่านอุปกรณ์สื่อสาร (</w:t>
      </w:r>
      <w:r w:rsidRPr="00FB7F65">
        <w:rPr>
          <w:rFonts w:ascii="DilleniaUPC" w:hAnsi="DilleniaUPC" w:cs="DilleniaUPC"/>
          <w:color w:val="000000" w:themeColor="text1"/>
          <w:sz w:val="30"/>
          <w:szCs w:val="30"/>
          <w:lang w:val="en-GB"/>
        </w:rPr>
        <w:t>SMS</w:t>
      </w:r>
      <w:r w:rsidRPr="00FB7F65">
        <w:rPr>
          <w:rFonts w:ascii="DilleniaUPC" w:hAnsi="DilleniaUPC" w:cs="DilleniaUPC"/>
          <w:color w:val="000000" w:themeColor="text1"/>
          <w:sz w:val="30"/>
          <w:szCs w:val="30"/>
          <w:cs/>
        </w:rPr>
        <w:t>/</w:t>
      </w:r>
      <w:r w:rsidRPr="00FB7F65">
        <w:rPr>
          <w:rFonts w:ascii="DilleniaUPC" w:hAnsi="DilleniaUPC" w:cs="DilleniaUPC"/>
          <w:color w:val="000000" w:themeColor="text1"/>
          <w:sz w:val="30"/>
          <w:szCs w:val="30"/>
          <w:lang w:val="en-GB"/>
        </w:rPr>
        <w:t>MMS</w:t>
      </w:r>
      <w:r w:rsidRPr="00FB7F65">
        <w:rPr>
          <w:rFonts w:ascii="DilleniaUPC" w:hAnsi="DilleniaUPC" w:cs="DilleniaUPC"/>
          <w:color w:val="000000" w:themeColor="text1"/>
          <w:sz w:val="30"/>
          <w:szCs w:val="30"/>
          <w:cs/>
        </w:rPr>
        <w:t>) รายงานแสดงทรัพย์สินของลูกค้าตามช่องทางการติดต่อดังกล่าวข้างต้น เป็นต้น</w:t>
      </w:r>
      <w:r w:rsidR="00155969" w:rsidRPr="00FB7F65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หรือ</w:t>
      </w:r>
      <w:r w:rsidRPr="00FB7F65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ในกรณีที่ลูกค้ารายใดไม่มีธุรกรรมที่ก่อให้เกิดการเคลื่อนไหวหรือเปลี่ยนแปลงในทรัพย์สินของลูกค้าติดต่อกันตั้งแต่หนึ่งปีขึ้นไป ให้สมาชิกแจ้งลูกค้ารายดังกล่าวอย่างน้อยปีละหนึ่งครั้ง </w:t>
      </w:r>
      <w:r w:rsidR="00912585" w:rsidRPr="00FB7F65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</w:t>
      </w:r>
    </w:p>
    <w:p w14:paraId="48848040" w14:textId="365CB53F" w:rsidR="00AC61B5" w:rsidRPr="00FB7F65" w:rsidRDefault="00AC61B5" w:rsidP="00FB7F65">
      <w:pPr>
        <w:tabs>
          <w:tab w:val="left" w:pos="1080"/>
        </w:tabs>
        <w:ind w:right="-64" w:firstLine="709"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  <w:r w:rsidRPr="00FB7F65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ทั้งนี้ สมาชิกอาจจัดให้มีการเปิดเผยข้อมูลเพิ่มเติมผ่านช่องทางที่ลูกค้าสามารถเข้าถึงได้โดยง่ายในภายหลังได้ เช่น ผ่านทางเว็บไชต์ของสมาชิก เป็นต้น</w:t>
      </w:r>
    </w:p>
    <w:p w14:paraId="1E38E3E7" w14:textId="77777777" w:rsidR="00D84B27" w:rsidRPr="00FB7F65" w:rsidRDefault="00D84B27" w:rsidP="00D84B27">
      <w:pPr>
        <w:pStyle w:val="ListParagraph"/>
        <w:ind w:left="1530" w:right="-64"/>
        <w:jc w:val="thaiDistribute"/>
        <w:rPr>
          <w:rFonts w:ascii="DilleniaUPC" w:hAnsi="DilleniaUPC" w:cs="DilleniaUPC"/>
          <w:color w:val="000000" w:themeColor="text1"/>
          <w:sz w:val="16"/>
          <w:szCs w:val="16"/>
          <w:lang w:val="en-GB"/>
        </w:rPr>
      </w:pPr>
    </w:p>
    <w:p w14:paraId="078BE7CB" w14:textId="77777777" w:rsidR="006D7555" w:rsidRPr="00FB7F65" w:rsidRDefault="00AC61B5" w:rsidP="00990AC4">
      <w:pPr>
        <w:tabs>
          <w:tab w:val="left" w:pos="1701"/>
        </w:tabs>
        <w:ind w:right="-64" w:firstLine="720"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  <w:r w:rsidRPr="00FB7F65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ข้อ </w:t>
      </w:r>
      <w:r w:rsidRPr="00FB7F65">
        <w:rPr>
          <w:rFonts w:ascii="DilleniaUPC" w:hAnsi="DilleniaUPC" w:cs="DilleniaUPC"/>
          <w:color w:val="000000" w:themeColor="text1"/>
          <w:sz w:val="30"/>
          <w:szCs w:val="30"/>
        </w:rPr>
        <w:t>4</w:t>
      </w:r>
      <w:r w:rsidR="00990AC4" w:rsidRPr="00FB7F65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 </w:t>
      </w:r>
      <w:r w:rsidR="003C5BEC" w:rsidRPr="00FB7F65">
        <w:rPr>
          <w:rFonts w:ascii="DilleniaUPC" w:hAnsi="DilleniaUPC" w:cs="DilleniaUPC"/>
          <w:color w:val="000000" w:themeColor="text1"/>
          <w:sz w:val="30"/>
          <w:szCs w:val="30"/>
          <w:cs/>
        </w:rPr>
        <w:t>เปิดเผยลักษณะที่อาจก่อให้เกิดความขัดแย้งทางผลประโยชน์ (</w:t>
      </w:r>
      <w:r w:rsidR="003C5BEC" w:rsidRPr="00FB7F65">
        <w:rPr>
          <w:rFonts w:ascii="DilleniaUPC" w:hAnsi="DilleniaUPC" w:cs="DilleniaUPC"/>
          <w:color w:val="000000" w:themeColor="text1"/>
          <w:sz w:val="30"/>
          <w:szCs w:val="30"/>
        </w:rPr>
        <w:t>Conflict of Interest</w:t>
      </w:r>
      <w:r w:rsidR="003C5BEC" w:rsidRPr="00FB7F65">
        <w:rPr>
          <w:rFonts w:ascii="DilleniaUPC" w:hAnsi="DilleniaUPC" w:cs="DilleniaUPC"/>
          <w:color w:val="000000" w:themeColor="text1"/>
          <w:sz w:val="30"/>
          <w:szCs w:val="30"/>
          <w:cs/>
        </w:rPr>
        <w:t>) ไว้ในรายงานหรือบทความการวิเคราะห์การลงทุนในหลักทรัพย์</w:t>
      </w:r>
      <w:r w:rsidR="00947E14" w:rsidRPr="00FB7F65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</w:t>
      </w:r>
      <w:r w:rsidR="003C5BEC" w:rsidRPr="00FB7F65">
        <w:rPr>
          <w:rFonts w:ascii="DilleniaUPC" w:hAnsi="DilleniaUPC" w:cs="DilleniaUPC"/>
          <w:color w:val="000000" w:themeColor="text1"/>
          <w:sz w:val="30"/>
          <w:szCs w:val="30"/>
          <w:cs/>
        </w:rPr>
        <w:t>เมื่อมีการจัดทำและเผยแพร่งานวิเคราะห์เกี่ยวกับ</w:t>
      </w:r>
      <w:r w:rsidR="00AE1F14" w:rsidRPr="00FB7F65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หลักทรัพย์ที่สมาชิกมีส่วนเกี่ยวข้อง</w:t>
      </w:r>
    </w:p>
    <w:p w14:paraId="45415844" w14:textId="77777777" w:rsidR="00FB7F65" w:rsidRPr="00FB7F65" w:rsidRDefault="00FB7F65" w:rsidP="00FB7F65">
      <w:pPr>
        <w:ind w:right="-62" w:firstLine="720"/>
        <w:rPr>
          <w:rFonts w:ascii="DilleniaUPC" w:hAnsi="DilleniaUPC" w:cs="DilleniaUPC"/>
          <w:color w:val="000000" w:themeColor="text1"/>
          <w:sz w:val="30"/>
          <w:szCs w:val="30"/>
        </w:rPr>
      </w:pPr>
    </w:p>
    <w:p w14:paraId="1D48062E" w14:textId="1531B765" w:rsidR="00D677F0" w:rsidRPr="00FB7F65" w:rsidRDefault="00D677F0" w:rsidP="00FB7F65">
      <w:pPr>
        <w:ind w:right="-62" w:firstLine="720"/>
        <w:rPr>
          <w:rFonts w:ascii="DilleniaUPC" w:hAnsi="DilleniaUPC" w:cs="DilleniaUPC"/>
          <w:color w:val="000000" w:themeColor="text1"/>
          <w:sz w:val="30"/>
          <w:szCs w:val="30"/>
          <w:cs/>
        </w:rPr>
      </w:pPr>
      <w:r w:rsidRPr="00FB7F65">
        <w:rPr>
          <w:rFonts w:ascii="DilleniaUPC" w:hAnsi="DilleniaUPC" w:cs="DilleniaUPC"/>
          <w:color w:val="000000" w:themeColor="text1"/>
          <w:sz w:val="30"/>
          <w:szCs w:val="30"/>
          <w:cs/>
        </w:rPr>
        <w:t>ปร</w:t>
      </w:r>
      <w:r w:rsidR="006A4E68" w:rsidRPr="00FB7F65">
        <w:rPr>
          <w:rFonts w:ascii="DilleniaUPC" w:hAnsi="DilleniaUPC" w:cs="DilleniaUPC"/>
          <w:color w:val="000000" w:themeColor="text1"/>
          <w:sz w:val="30"/>
          <w:szCs w:val="30"/>
          <w:cs/>
        </w:rPr>
        <w:t>ะกาศนี้มีผลบังคับ</w:t>
      </w:r>
      <w:r w:rsidR="00495AB1" w:rsidRPr="00FB7F65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ใช้</w:t>
      </w:r>
      <w:r w:rsidR="006A4E68" w:rsidRPr="00FB7F65">
        <w:rPr>
          <w:rFonts w:ascii="DilleniaUPC" w:hAnsi="DilleniaUPC" w:cs="DilleniaUPC"/>
          <w:color w:val="000000" w:themeColor="text1"/>
          <w:sz w:val="30"/>
          <w:szCs w:val="30"/>
          <w:cs/>
        </w:rPr>
        <w:t>ตั้งแต่วันที่</w:t>
      </w:r>
      <w:r w:rsidR="0023460A">
        <w:rPr>
          <w:rFonts w:ascii="DilleniaUPC" w:hAnsi="DilleniaUPC" w:cs="DilleniaUPC"/>
          <w:color w:val="000000" w:themeColor="text1"/>
          <w:sz w:val="30"/>
          <w:szCs w:val="30"/>
        </w:rPr>
        <w:t xml:space="preserve"> 1</w:t>
      </w:r>
      <w:r w:rsidR="0023460A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พฤศจิกายน </w:t>
      </w:r>
      <w:r w:rsidR="0023460A">
        <w:rPr>
          <w:rFonts w:ascii="DilleniaUPC" w:hAnsi="DilleniaUPC" w:cs="DilleniaUPC"/>
          <w:color w:val="000000" w:themeColor="text1"/>
          <w:sz w:val="30"/>
          <w:szCs w:val="30"/>
        </w:rPr>
        <w:t xml:space="preserve">2564 </w:t>
      </w:r>
      <w:r w:rsidRPr="00FB7F65">
        <w:rPr>
          <w:rFonts w:ascii="DilleniaUPC" w:hAnsi="DilleniaUPC" w:cs="DilleniaUPC"/>
          <w:color w:val="000000" w:themeColor="text1"/>
          <w:sz w:val="30"/>
          <w:szCs w:val="30"/>
          <w:cs/>
        </w:rPr>
        <w:t>เป็นต้นไป</w:t>
      </w:r>
    </w:p>
    <w:p w14:paraId="6F21C55C" w14:textId="685055EC" w:rsidR="004C37B6" w:rsidRPr="00FB7F65" w:rsidRDefault="004C37B6" w:rsidP="00FB7F65">
      <w:pPr>
        <w:ind w:right="-62"/>
        <w:rPr>
          <w:rFonts w:ascii="DilleniaUPC" w:hAnsi="DilleniaUPC" w:cs="DilleniaUPC"/>
          <w:color w:val="000000" w:themeColor="text1"/>
          <w:sz w:val="16"/>
          <w:szCs w:val="16"/>
        </w:rPr>
      </w:pPr>
    </w:p>
    <w:p w14:paraId="6CFD32A5" w14:textId="77777777" w:rsidR="00FB7F65" w:rsidRPr="00FB7F65" w:rsidRDefault="00FB7F65" w:rsidP="00FB7F65">
      <w:pPr>
        <w:ind w:right="-62"/>
        <w:rPr>
          <w:rFonts w:ascii="DilleniaUPC" w:hAnsi="DilleniaUPC" w:cs="DilleniaUPC"/>
          <w:color w:val="000000" w:themeColor="text1"/>
          <w:sz w:val="30"/>
          <w:szCs w:val="30"/>
          <w:cs/>
        </w:rPr>
      </w:pPr>
    </w:p>
    <w:p w14:paraId="7D9D5287" w14:textId="223D9807" w:rsidR="00D677F0" w:rsidRPr="00FB7F65" w:rsidRDefault="00D677F0" w:rsidP="003D7996">
      <w:pPr>
        <w:pStyle w:val="BodyText"/>
        <w:tabs>
          <w:tab w:val="center" w:pos="5812"/>
        </w:tabs>
        <w:spacing w:after="0"/>
        <w:ind w:right="-653"/>
        <w:rPr>
          <w:rFonts w:ascii="DilleniaUPC" w:hAnsi="DilleniaUPC" w:cs="DilleniaUPC"/>
          <w:color w:val="000000" w:themeColor="text1"/>
          <w:sz w:val="30"/>
          <w:szCs w:val="30"/>
        </w:rPr>
      </w:pPr>
      <w:r w:rsidRPr="00FB7F65">
        <w:rPr>
          <w:rFonts w:ascii="DilleniaUPC" w:hAnsi="DilleniaUPC" w:cs="DilleniaUPC"/>
          <w:color w:val="000000" w:themeColor="text1"/>
          <w:sz w:val="30"/>
          <w:szCs w:val="30"/>
          <w:cs/>
        </w:rPr>
        <w:tab/>
        <w:t xml:space="preserve">ประกาศ ณ วันที่ </w:t>
      </w:r>
      <w:r w:rsidR="0023460A">
        <w:rPr>
          <w:rFonts w:ascii="DilleniaUPC" w:hAnsi="DilleniaUPC" w:cs="DilleniaUPC"/>
          <w:color w:val="000000" w:themeColor="text1"/>
          <w:sz w:val="30"/>
          <w:szCs w:val="30"/>
        </w:rPr>
        <w:t>2</w:t>
      </w:r>
      <w:r w:rsidR="0082138B">
        <w:rPr>
          <w:rFonts w:ascii="DilleniaUPC" w:hAnsi="DilleniaUPC" w:cs="DilleniaUPC"/>
          <w:color w:val="000000" w:themeColor="text1"/>
          <w:sz w:val="30"/>
          <w:szCs w:val="30"/>
        </w:rPr>
        <w:t>7</w:t>
      </w:r>
      <w:r w:rsidR="00A26CB0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</w:t>
      </w:r>
      <w:r w:rsidR="00A26CB0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ตุลาคม</w:t>
      </w:r>
      <w:r w:rsidR="00BA6C84" w:rsidRPr="00FB7F65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</w:t>
      </w:r>
      <w:r w:rsidR="00D84B27" w:rsidRPr="00FB7F65">
        <w:rPr>
          <w:rFonts w:ascii="DilleniaUPC" w:hAnsi="DilleniaUPC" w:cs="DilleniaUPC"/>
          <w:color w:val="000000" w:themeColor="text1"/>
          <w:sz w:val="30"/>
          <w:szCs w:val="30"/>
          <w:cs/>
        </w:rPr>
        <w:t>25</w:t>
      </w:r>
      <w:r w:rsidR="00D84B27" w:rsidRPr="00FB7F65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64</w:t>
      </w:r>
    </w:p>
    <w:p w14:paraId="17740BD7" w14:textId="77777777" w:rsidR="00D677F0" w:rsidRPr="00FB7F65" w:rsidRDefault="00D677F0" w:rsidP="00D677F0">
      <w:pPr>
        <w:pStyle w:val="BodyText"/>
        <w:tabs>
          <w:tab w:val="left" w:pos="567"/>
          <w:tab w:val="center" w:pos="5760"/>
        </w:tabs>
        <w:spacing w:after="0"/>
        <w:rPr>
          <w:rFonts w:ascii="DilleniaUPC" w:hAnsi="DilleniaUPC" w:cs="DilleniaUPC"/>
          <w:color w:val="000000" w:themeColor="text1"/>
          <w:sz w:val="30"/>
          <w:szCs w:val="30"/>
        </w:rPr>
      </w:pPr>
    </w:p>
    <w:p w14:paraId="59F70840" w14:textId="77777777" w:rsidR="003D7996" w:rsidRPr="00FB7F65" w:rsidRDefault="003D7996" w:rsidP="00D677F0">
      <w:pPr>
        <w:pStyle w:val="BodyText"/>
        <w:tabs>
          <w:tab w:val="left" w:pos="567"/>
          <w:tab w:val="center" w:pos="5760"/>
        </w:tabs>
        <w:spacing w:after="0"/>
        <w:rPr>
          <w:rFonts w:ascii="DilleniaUPC" w:hAnsi="DilleniaUPC" w:cs="DilleniaUPC"/>
          <w:color w:val="000000" w:themeColor="text1"/>
          <w:sz w:val="30"/>
          <w:szCs w:val="30"/>
        </w:rPr>
      </w:pPr>
    </w:p>
    <w:p w14:paraId="75047496" w14:textId="77777777" w:rsidR="003D7996" w:rsidRPr="00FB7F65" w:rsidRDefault="003D7996" w:rsidP="00D677F0">
      <w:pPr>
        <w:pStyle w:val="BodyText"/>
        <w:tabs>
          <w:tab w:val="left" w:pos="567"/>
          <w:tab w:val="center" w:pos="5760"/>
        </w:tabs>
        <w:spacing w:after="0"/>
        <w:rPr>
          <w:rFonts w:ascii="DilleniaUPC" w:hAnsi="DilleniaUPC" w:cs="DilleniaUPC"/>
          <w:color w:val="000000" w:themeColor="text1"/>
          <w:sz w:val="30"/>
          <w:szCs w:val="30"/>
          <w:cs/>
        </w:rPr>
      </w:pPr>
    </w:p>
    <w:p w14:paraId="46F98991" w14:textId="77777777" w:rsidR="00D677F0" w:rsidRPr="00FB7F65" w:rsidRDefault="00D677F0" w:rsidP="00D677F0">
      <w:pPr>
        <w:tabs>
          <w:tab w:val="center" w:pos="5812"/>
        </w:tabs>
        <w:jc w:val="both"/>
        <w:rPr>
          <w:rFonts w:ascii="DilleniaUPC" w:hAnsi="DilleniaUPC" w:cs="DilleniaUPC"/>
          <w:color w:val="000000" w:themeColor="text1"/>
          <w:sz w:val="30"/>
          <w:szCs w:val="30"/>
          <w:cs/>
        </w:rPr>
      </w:pPr>
      <w:r w:rsidRPr="00FB7F65">
        <w:rPr>
          <w:rFonts w:ascii="DilleniaUPC" w:hAnsi="DilleniaUPC" w:cs="DilleniaUPC"/>
          <w:color w:val="000000" w:themeColor="text1"/>
          <w:sz w:val="30"/>
          <w:szCs w:val="30"/>
          <w:cs/>
        </w:rPr>
        <w:tab/>
        <w:t>(นา</w:t>
      </w:r>
      <w:r w:rsidR="00D84B27" w:rsidRPr="00FB7F65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ยพิเชษฐ สิทธิอำนวย</w:t>
      </w:r>
      <w:r w:rsidRPr="00FB7F65">
        <w:rPr>
          <w:rFonts w:ascii="DilleniaUPC" w:hAnsi="DilleniaUPC" w:cs="DilleniaUPC"/>
          <w:color w:val="000000" w:themeColor="text1"/>
          <w:sz w:val="30"/>
          <w:szCs w:val="30"/>
          <w:cs/>
        </w:rPr>
        <w:t>)</w:t>
      </w:r>
    </w:p>
    <w:p w14:paraId="6E1F48E1" w14:textId="77777777" w:rsidR="00ED7E47" w:rsidRPr="00FB7F65" w:rsidRDefault="00D677F0" w:rsidP="003D7996">
      <w:pPr>
        <w:pStyle w:val="BodyText"/>
        <w:tabs>
          <w:tab w:val="center" w:pos="5812"/>
        </w:tabs>
        <w:spacing w:after="0" w:line="340" w:lineRule="exact"/>
        <w:rPr>
          <w:rFonts w:ascii="DilleniaUPC" w:hAnsi="DilleniaUPC" w:cs="DilleniaUPC"/>
          <w:color w:val="000000" w:themeColor="text1"/>
          <w:sz w:val="30"/>
          <w:szCs w:val="30"/>
          <w:u w:val="single"/>
        </w:rPr>
      </w:pPr>
      <w:r w:rsidRPr="00FB7F65">
        <w:rPr>
          <w:rFonts w:ascii="DilleniaUPC" w:hAnsi="DilleniaUPC" w:cs="DilleniaUPC"/>
          <w:color w:val="000000" w:themeColor="text1"/>
          <w:sz w:val="30"/>
          <w:szCs w:val="30"/>
          <w:cs/>
        </w:rPr>
        <w:tab/>
      </w:r>
      <w:r w:rsidRPr="00FB7F65">
        <w:rPr>
          <w:rFonts w:ascii="DilleniaUPC" w:eastAsia="MS Mincho" w:hAnsi="DilleniaUPC" w:cs="DilleniaUPC"/>
          <w:color w:val="000000" w:themeColor="text1"/>
          <w:sz w:val="30"/>
          <w:szCs w:val="30"/>
          <w:cs/>
          <w:lang w:eastAsia="ja-JP"/>
        </w:rPr>
        <w:t>นายกสมาคม</w:t>
      </w:r>
    </w:p>
    <w:sectPr w:rsidR="00ED7E47" w:rsidRPr="00FB7F65" w:rsidSect="00AB2BA4">
      <w:footerReference w:type="default" r:id="rId8"/>
      <w:pgSz w:w="11906" w:h="16838"/>
      <w:pgMar w:top="1134" w:right="1372" w:bottom="1418" w:left="1701" w:header="720" w:footer="442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D1D58" w14:textId="77777777" w:rsidR="00CA1A70" w:rsidRDefault="00CA1A70" w:rsidP="00A87D06">
      <w:r>
        <w:separator/>
      </w:r>
    </w:p>
  </w:endnote>
  <w:endnote w:type="continuationSeparator" w:id="0">
    <w:p w14:paraId="2B6ED773" w14:textId="77777777" w:rsidR="00CA1A70" w:rsidRDefault="00CA1A70" w:rsidP="00A8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1D920" w14:textId="77777777" w:rsidR="0047748A" w:rsidRPr="003D7996" w:rsidRDefault="00E87C51" w:rsidP="00AB2BA4">
    <w:pPr>
      <w:pStyle w:val="Footer"/>
      <w:ind w:right="44"/>
      <w:jc w:val="right"/>
      <w:rPr>
        <w:rFonts w:ascii="DilleniaUPC" w:hAnsi="DilleniaUPC" w:cs="DilleniaUPC"/>
        <w:szCs w:val="24"/>
      </w:rPr>
    </w:pPr>
    <w:r w:rsidRPr="003D7996">
      <w:rPr>
        <w:rFonts w:ascii="DilleniaUPC" w:hAnsi="DilleniaUPC" w:cs="DilleniaUPC"/>
        <w:szCs w:val="24"/>
        <w:cs/>
      </w:rPr>
      <w:t>การซื้อขายหลักทรัพย์</w:t>
    </w:r>
    <w:r w:rsidR="005953A8" w:rsidRPr="003D7996">
      <w:rPr>
        <w:rFonts w:ascii="DilleniaUPC" w:hAnsi="DilleniaUPC" w:cs="DilleniaUPC"/>
        <w:szCs w:val="24"/>
        <w:cs/>
      </w:rPr>
      <w:t>ของสมาชิกหรือบริษัทที่มีส่วนเกี่ยวข้องกับสมาชิกในฐานะนายหน้าหรือตัวแทนของลูกค้า</w:t>
    </w:r>
  </w:p>
  <w:p w14:paraId="31C390DE" w14:textId="381FD848" w:rsidR="0047748A" w:rsidRPr="003D7996" w:rsidRDefault="0047748A" w:rsidP="00AB2BA4">
    <w:pPr>
      <w:pStyle w:val="Footer"/>
      <w:ind w:right="44"/>
      <w:jc w:val="right"/>
      <w:rPr>
        <w:rFonts w:ascii="DilleniaUPC" w:hAnsi="DilleniaUPC" w:cs="DilleniaUPC"/>
        <w:sz w:val="32"/>
        <w:szCs w:val="36"/>
      </w:rPr>
    </w:pPr>
    <w:r w:rsidRPr="003D7996">
      <w:rPr>
        <w:rFonts w:ascii="DilleniaUPC" w:hAnsi="DilleniaUPC" w:cs="DilleniaUPC"/>
        <w:szCs w:val="24"/>
        <w:cs/>
      </w:rPr>
      <w:t xml:space="preserve">หน้า </w:t>
    </w:r>
    <w:r w:rsidRPr="003D7996">
      <w:rPr>
        <w:rFonts w:ascii="DilleniaUPC" w:hAnsi="DilleniaUPC" w:cs="DilleniaUPC"/>
        <w:szCs w:val="24"/>
      </w:rPr>
      <w:fldChar w:fldCharType="begin"/>
    </w:r>
    <w:r w:rsidRPr="003D7996">
      <w:rPr>
        <w:rFonts w:ascii="DilleniaUPC" w:hAnsi="DilleniaUPC" w:cs="DilleniaUPC"/>
        <w:szCs w:val="24"/>
      </w:rPr>
      <w:instrText xml:space="preserve"> PAGE </w:instrText>
    </w:r>
    <w:r w:rsidRPr="003D7996">
      <w:rPr>
        <w:rFonts w:ascii="DilleniaUPC" w:hAnsi="DilleniaUPC" w:cs="DilleniaUPC"/>
        <w:szCs w:val="24"/>
      </w:rPr>
      <w:fldChar w:fldCharType="separate"/>
    </w:r>
    <w:r w:rsidR="00032186">
      <w:rPr>
        <w:rFonts w:ascii="DilleniaUPC" w:hAnsi="DilleniaUPC" w:cs="DilleniaUPC"/>
        <w:noProof/>
        <w:szCs w:val="24"/>
      </w:rPr>
      <w:t>2</w:t>
    </w:r>
    <w:r w:rsidRPr="003D7996">
      <w:rPr>
        <w:rFonts w:ascii="DilleniaUPC" w:hAnsi="DilleniaUPC" w:cs="DilleniaUPC"/>
        <w:szCs w:val="24"/>
      </w:rPr>
      <w:fldChar w:fldCharType="end"/>
    </w:r>
    <w:r w:rsidRPr="003D7996">
      <w:rPr>
        <w:rFonts w:ascii="DilleniaUPC" w:hAnsi="DilleniaUPC" w:cs="DilleniaUPC"/>
        <w:szCs w:val="24"/>
        <w:cs/>
      </w:rPr>
      <w:t xml:space="preserve"> / </w:t>
    </w:r>
    <w:r w:rsidRPr="003D7996">
      <w:rPr>
        <w:rFonts w:ascii="DilleniaUPC" w:hAnsi="DilleniaUPC" w:cs="DilleniaUPC"/>
        <w:szCs w:val="24"/>
      </w:rPr>
      <w:fldChar w:fldCharType="begin"/>
    </w:r>
    <w:r w:rsidRPr="003D7996">
      <w:rPr>
        <w:rFonts w:ascii="DilleniaUPC" w:hAnsi="DilleniaUPC" w:cs="DilleniaUPC"/>
        <w:szCs w:val="24"/>
      </w:rPr>
      <w:instrText xml:space="preserve"> NUMPAGES  </w:instrText>
    </w:r>
    <w:r w:rsidRPr="003D7996">
      <w:rPr>
        <w:rFonts w:ascii="DilleniaUPC" w:hAnsi="DilleniaUPC" w:cs="DilleniaUPC"/>
        <w:szCs w:val="24"/>
      </w:rPr>
      <w:fldChar w:fldCharType="separate"/>
    </w:r>
    <w:r w:rsidR="00032186">
      <w:rPr>
        <w:rFonts w:ascii="DilleniaUPC" w:hAnsi="DilleniaUPC" w:cs="DilleniaUPC"/>
        <w:noProof/>
        <w:szCs w:val="24"/>
      </w:rPr>
      <w:t>2</w:t>
    </w:r>
    <w:r w:rsidRPr="003D7996">
      <w:rPr>
        <w:rFonts w:ascii="DilleniaUPC" w:hAnsi="DilleniaUPC" w:cs="DilleniaUPC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52C09" w14:textId="77777777" w:rsidR="00CA1A70" w:rsidRDefault="00CA1A70" w:rsidP="00A87D06">
      <w:r>
        <w:separator/>
      </w:r>
    </w:p>
  </w:footnote>
  <w:footnote w:type="continuationSeparator" w:id="0">
    <w:p w14:paraId="49C65E67" w14:textId="77777777" w:rsidR="00CA1A70" w:rsidRDefault="00CA1A70" w:rsidP="00A87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9B8"/>
    <w:multiLevelType w:val="multilevel"/>
    <w:tmpl w:val="286C1B60"/>
    <w:lvl w:ilvl="0">
      <w:start w:val="3"/>
      <w:numFmt w:val="decimal"/>
      <w:lvlText w:val="%1"/>
      <w:lvlJc w:val="left"/>
      <w:pPr>
        <w:ind w:left="360" w:hanging="360"/>
      </w:pPr>
      <w:rPr>
        <w:rFonts w:eastAsia="Calibri"/>
        <w:color w:val="0070C0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Calibri"/>
        <w:color w:val="0070C0"/>
      </w:rPr>
    </w:lvl>
    <w:lvl w:ilvl="2">
      <w:start w:val="1"/>
      <w:numFmt w:val="decimal"/>
      <w:lvlText w:val="%1.%2.%3"/>
      <w:lvlJc w:val="left"/>
      <w:pPr>
        <w:ind w:left="960" w:hanging="360"/>
      </w:pPr>
      <w:rPr>
        <w:rFonts w:eastAsia="Calibri"/>
        <w:color w:val="0070C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Calibri"/>
        <w:color w:val="0070C0"/>
      </w:rPr>
    </w:lvl>
    <w:lvl w:ilvl="4">
      <w:start w:val="1"/>
      <w:numFmt w:val="decimal"/>
      <w:lvlText w:val="%1.%2.%3.%4.%5"/>
      <w:lvlJc w:val="left"/>
      <w:pPr>
        <w:ind w:left="1920" w:hanging="720"/>
      </w:pPr>
      <w:rPr>
        <w:rFonts w:eastAsia="Calibri"/>
        <w:color w:val="0070C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Calibri"/>
        <w:color w:val="0070C0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eastAsia="Calibri"/>
        <w:color w:val="0070C0"/>
      </w:rPr>
    </w:lvl>
    <w:lvl w:ilvl="7">
      <w:start w:val="1"/>
      <w:numFmt w:val="decimal"/>
      <w:lvlText w:val="%1.%2.%3.%4.%5.%6.%7.%8"/>
      <w:lvlJc w:val="left"/>
      <w:pPr>
        <w:ind w:left="3180" w:hanging="1080"/>
      </w:pPr>
      <w:rPr>
        <w:rFonts w:eastAsia="Calibri"/>
        <w:color w:val="0070C0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eastAsia="Calibri"/>
        <w:color w:val="0070C0"/>
      </w:rPr>
    </w:lvl>
  </w:abstractNum>
  <w:abstractNum w:abstractNumId="1" w15:restartNumberingAfterBreak="0">
    <w:nsid w:val="0C90225B"/>
    <w:multiLevelType w:val="multilevel"/>
    <w:tmpl w:val="82C4128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93B7849"/>
    <w:multiLevelType w:val="hybridMultilevel"/>
    <w:tmpl w:val="4E801A16"/>
    <w:lvl w:ilvl="0" w:tplc="12C0ADAC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E7D3D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FA5040"/>
    <w:multiLevelType w:val="multilevel"/>
    <w:tmpl w:val="C890E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44BD508A"/>
    <w:multiLevelType w:val="multilevel"/>
    <w:tmpl w:val="84E0FE9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F226655"/>
    <w:multiLevelType w:val="hybridMultilevel"/>
    <w:tmpl w:val="05ACF47A"/>
    <w:lvl w:ilvl="0" w:tplc="AFA6E1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Browallia New" w:hAnsi="Browall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E3"/>
    <w:rsid w:val="00000EA1"/>
    <w:rsid w:val="00002201"/>
    <w:rsid w:val="000025E8"/>
    <w:rsid w:val="000040E3"/>
    <w:rsid w:val="00032186"/>
    <w:rsid w:val="000363B8"/>
    <w:rsid w:val="00037490"/>
    <w:rsid w:val="00060532"/>
    <w:rsid w:val="00061B7E"/>
    <w:rsid w:val="000663C2"/>
    <w:rsid w:val="000A50B8"/>
    <w:rsid w:val="000D29FD"/>
    <w:rsid w:val="000F78FE"/>
    <w:rsid w:val="00101C43"/>
    <w:rsid w:val="00105B16"/>
    <w:rsid w:val="0011539E"/>
    <w:rsid w:val="00120947"/>
    <w:rsid w:val="00125CBF"/>
    <w:rsid w:val="001504D9"/>
    <w:rsid w:val="0015210A"/>
    <w:rsid w:val="0015375E"/>
    <w:rsid w:val="00155969"/>
    <w:rsid w:val="0016459F"/>
    <w:rsid w:val="001669FB"/>
    <w:rsid w:val="0017238C"/>
    <w:rsid w:val="00177202"/>
    <w:rsid w:val="00181EEF"/>
    <w:rsid w:val="00191233"/>
    <w:rsid w:val="00195BD6"/>
    <w:rsid w:val="001B5394"/>
    <w:rsid w:val="001B7E14"/>
    <w:rsid w:val="001C19A0"/>
    <w:rsid w:val="001D3C38"/>
    <w:rsid w:val="001E0341"/>
    <w:rsid w:val="001F217E"/>
    <w:rsid w:val="0023460A"/>
    <w:rsid w:val="00236194"/>
    <w:rsid w:val="0023753D"/>
    <w:rsid w:val="00250B42"/>
    <w:rsid w:val="00256650"/>
    <w:rsid w:val="002659D4"/>
    <w:rsid w:val="0026636C"/>
    <w:rsid w:val="00272E2C"/>
    <w:rsid w:val="00276212"/>
    <w:rsid w:val="00282A8C"/>
    <w:rsid w:val="002A20CD"/>
    <w:rsid w:val="002B0E34"/>
    <w:rsid w:val="002B244C"/>
    <w:rsid w:val="002C73BC"/>
    <w:rsid w:val="002D3CE3"/>
    <w:rsid w:val="002D3F71"/>
    <w:rsid w:val="002D536E"/>
    <w:rsid w:val="002D5B45"/>
    <w:rsid w:val="002F1ADB"/>
    <w:rsid w:val="002F1FB1"/>
    <w:rsid w:val="002F6280"/>
    <w:rsid w:val="002F6A3A"/>
    <w:rsid w:val="00303E7D"/>
    <w:rsid w:val="00303FA1"/>
    <w:rsid w:val="0031111A"/>
    <w:rsid w:val="003128DE"/>
    <w:rsid w:val="00317693"/>
    <w:rsid w:val="003260D1"/>
    <w:rsid w:val="003303AE"/>
    <w:rsid w:val="003337CB"/>
    <w:rsid w:val="00356B61"/>
    <w:rsid w:val="00363FE6"/>
    <w:rsid w:val="00366D91"/>
    <w:rsid w:val="00386C64"/>
    <w:rsid w:val="003935FA"/>
    <w:rsid w:val="003A1E08"/>
    <w:rsid w:val="003C2983"/>
    <w:rsid w:val="003C5BEC"/>
    <w:rsid w:val="003D7996"/>
    <w:rsid w:val="00420AAC"/>
    <w:rsid w:val="00421E27"/>
    <w:rsid w:val="00426157"/>
    <w:rsid w:val="004306CB"/>
    <w:rsid w:val="00444502"/>
    <w:rsid w:val="0044658A"/>
    <w:rsid w:val="004520D5"/>
    <w:rsid w:val="0046319D"/>
    <w:rsid w:val="0046755F"/>
    <w:rsid w:val="004735DB"/>
    <w:rsid w:val="0047748A"/>
    <w:rsid w:val="00477D28"/>
    <w:rsid w:val="00477F5F"/>
    <w:rsid w:val="004846CB"/>
    <w:rsid w:val="00493EB2"/>
    <w:rsid w:val="00495AB1"/>
    <w:rsid w:val="004A7C57"/>
    <w:rsid w:val="004B4D53"/>
    <w:rsid w:val="004C18CB"/>
    <w:rsid w:val="004C37B6"/>
    <w:rsid w:val="004C5CFF"/>
    <w:rsid w:val="004D2B95"/>
    <w:rsid w:val="004D4BAF"/>
    <w:rsid w:val="004F6C07"/>
    <w:rsid w:val="0050583F"/>
    <w:rsid w:val="0050735F"/>
    <w:rsid w:val="00513FD6"/>
    <w:rsid w:val="00514F77"/>
    <w:rsid w:val="005175CD"/>
    <w:rsid w:val="00531716"/>
    <w:rsid w:val="005435EE"/>
    <w:rsid w:val="00544AF1"/>
    <w:rsid w:val="00546830"/>
    <w:rsid w:val="00550282"/>
    <w:rsid w:val="00574649"/>
    <w:rsid w:val="00581080"/>
    <w:rsid w:val="00591425"/>
    <w:rsid w:val="00593406"/>
    <w:rsid w:val="005953A8"/>
    <w:rsid w:val="00595982"/>
    <w:rsid w:val="005B700C"/>
    <w:rsid w:val="005D10BC"/>
    <w:rsid w:val="005F2D4F"/>
    <w:rsid w:val="00607C48"/>
    <w:rsid w:val="00607E73"/>
    <w:rsid w:val="006133AF"/>
    <w:rsid w:val="006200B0"/>
    <w:rsid w:val="00626BAF"/>
    <w:rsid w:val="00627026"/>
    <w:rsid w:val="006327FC"/>
    <w:rsid w:val="00643429"/>
    <w:rsid w:val="006461CB"/>
    <w:rsid w:val="006661F1"/>
    <w:rsid w:val="00667368"/>
    <w:rsid w:val="00676B50"/>
    <w:rsid w:val="0068507E"/>
    <w:rsid w:val="006913EB"/>
    <w:rsid w:val="00695088"/>
    <w:rsid w:val="006A2992"/>
    <w:rsid w:val="006A4E68"/>
    <w:rsid w:val="006A69E2"/>
    <w:rsid w:val="006B203F"/>
    <w:rsid w:val="006B4B98"/>
    <w:rsid w:val="006C04EA"/>
    <w:rsid w:val="006C762D"/>
    <w:rsid w:val="006D7555"/>
    <w:rsid w:val="006F1436"/>
    <w:rsid w:val="006F7B9B"/>
    <w:rsid w:val="00704BFF"/>
    <w:rsid w:val="00705A13"/>
    <w:rsid w:val="0071174C"/>
    <w:rsid w:val="00712F66"/>
    <w:rsid w:val="00714269"/>
    <w:rsid w:val="00745243"/>
    <w:rsid w:val="00750A5B"/>
    <w:rsid w:val="00753D8C"/>
    <w:rsid w:val="00762395"/>
    <w:rsid w:val="00765461"/>
    <w:rsid w:val="00780B66"/>
    <w:rsid w:val="00793850"/>
    <w:rsid w:val="007A4100"/>
    <w:rsid w:val="007A4961"/>
    <w:rsid w:val="007A5B52"/>
    <w:rsid w:val="007B24E5"/>
    <w:rsid w:val="007F0364"/>
    <w:rsid w:val="0080061D"/>
    <w:rsid w:val="00801307"/>
    <w:rsid w:val="008067C7"/>
    <w:rsid w:val="0080750D"/>
    <w:rsid w:val="00820508"/>
    <w:rsid w:val="0082138B"/>
    <w:rsid w:val="008353E3"/>
    <w:rsid w:val="0083624C"/>
    <w:rsid w:val="0083654A"/>
    <w:rsid w:val="00843A5A"/>
    <w:rsid w:val="0085674D"/>
    <w:rsid w:val="0086072E"/>
    <w:rsid w:val="00861781"/>
    <w:rsid w:val="00871D86"/>
    <w:rsid w:val="0087205E"/>
    <w:rsid w:val="008908A1"/>
    <w:rsid w:val="008B2081"/>
    <w:rsid w:val="008B21CA"/>
    <w:rsid w:val="008B2976"/>
    <w:rsid w:val="008D56A1"/>
    <w:rsid w:val="008D589A"/>
    <w:rsid w:val="00904F9D"/>
    <w:rsid w:val="00912585"/>
    <w:rsid w:val="00930409"/>
    <w:rsid w:val="00932A3D"/>
    <w:rsid w:val="00935813"/>
    <w:rsid w:val="00936256"/>
    <w:rsid w:val="00944E12"/>
    <w:rsid w:val="00947E14"/>
    <w:rsid w:val="00956915"/>
    <w:rsid w:val="00957E5E"/>
    <w:rsid w:val="009657C4"/>
    <w:rsid w:val="00971E21"/>
    <w:rsid w:val="00990AC4"/>
    <w:rsid w:val="00993476"/>
    <w:rsid w:val="009B07CC"/>
    <w:rsid w:val="009B2202"/>
    <w:rsid w:val="009B2ABE"/>
    <w:rsid w:val="009C5072"/>
    <w:rsid w:val="009E1D93"/>
    <w:rsid w:val="009E333B"/>
    <w:rsid w:val="009F6832"/>
    <w:rsid w:val="009F696D"/>
    <w:rsid w:val="00A008A2"/>
    <w:rsid w:val="00A01715"/>
    <w:rsid w:val="00A10062"/>
    <w:rsid w:val="00A10FF9"/>
    <w:rsid w:val="00A12389"/>
    <w:rsid w:val="00A26CB0"/>
    <w:rsid w:val="00A313D2"/>
    <w:rsid w:val="00A33644"/>
    <w:rsid w:val="00A35B5E"/>
    <w:rsid w:val="00A35E6B"/>
    <w:rsid w:val="00A36B2F"/>
    <w:rsid w:val="00A54E6C"/>
    <w:rsid w:val="00A61912"/>
    <w:rsid w:val="00A62C11"/>
    <w:rsid w:val="00A71F69"/>
    <w:rsid w:val="00A815F1"/>
    <w:rsid w:val="00A87D06"/>
    <w:rsid w:val="00AA76D1"/>
    <w:rsid w:val="00AB2BA4"/>
    <w:rsid w:val="00AC61B5"/>
    <w:rsid w:val="00AD26AF"/>
    <w:rsid w:val="00AE1F14"/>
    <w:rsid w:val="00AE7138"/>
    <w:rsid w:val="00B02C2F"/>
    <w:rsid w:val="00B16FD6"/>
    <w:rsid w:val="00B277B2"/>
    <w:rsid w:val="00B557AF"/>
    <w:rsid w:val="00B603F4"/>
    <w:rsid w:val="00B75A2D"/>
    <w:rsid w:val="00B956D4"/>
    <w:rsid w:val="00BA16B3"/>
    <w:rsid w:val="00BA6565"/>
    <w:rsid w:val="00BA6C84"/>
    <w:rsid w:val="00BB110F"/>
    <w:rsid w:val="00BB1403"/>
    <w:rsid w:val="00BB42A0"/>
    <w:rsid w:val="00BB6ECB"/>
    <w:rsid w:val="00BC04BE"/>
    <w:rsid w:val="00BC4C9A"/>
    <w:rsid w:val="00BC7017"/>
    <w:rsid w:val="00BD42F3"/>
    <w:rsid w:val="00BE5309"/>
    <w:rsid w:val="00BF2961"/>
    <w:rsid w:val="00BF34D9"/>
    <w:rsid w:val="00BF7576"/>
    <w:rsid w:val="00C02447"/>
    <w:rsid w:val="00C1662D"/>
    <w:rsid w:val="00C314B0"/>
    <w:rsid w:val="00C50144"/>
    <w:rsid w:val="00C506EA"/>
    <w:rsid w:val="00C55CC1"/>
    <w:rsid w:val="00C60EA0"/>
    <w:rsid w:val="00C647CA"/>
    <w:rsid w:val="00C673B0"/>
    <w:rsid w:val="00C774EC"/>
    <w:rsid w:val="00C8272B"/>
    <w:rsid w:val="00CA1A70"/>
    <w:rsid w:val="00CA2355"/>
    <w:rsid w:val="00CA3164"/>
    <w:rsid w:val="00CB3D0A"/>
    <w:rsid w:val="00CC0227"/>
    <w:rsid w:val="00CE2DC4"/>
    <w:rsid w:val="00CF2F5C"/>
    <w:rsid w:val="00D01B50"/>
    <w:rsid w:val="00D06506"/>
    <w:rsid w:val="00D34581"/>
    <w:rsid w:val="00D545BD"/>
    <w:rsid w:val="00D604A7"/>
    <w:rsid w:val="00D64318"/>
    <w:rsid w:val="00D677F0"/>
    <w:rsid w:val="00D7471F"/>
    <w:rsid w:val="00D763F9"/>
    <w:rsid w:val="00D77E6C"/>
    <w:rsid w:val="00D82CCA"/>
    <w:rsid w:val="00D84B27"/>
    <w:rsid w:val="00D86DCC"/>
    <w:rsid w:val="00DC34FD"/>
    <w:rsid w:val="00DC568C"/>
    <w:rsid w:val="00DD06CF"/>
    <w:rsid w:val="00DF1922"/>
    <w:rsid w:val="00E07151"/>
    <w:rsid w:val="00E1120C"/>
    <w:rsid w:val="00E20ED9"/>
    <w:rsid w:val="00E21D1A"/>
    <w:rsid w:val="00E2440E"/>
    <w:rsid w:val="00E26226"/>
    <w:rsid w:val="00E35AB7"/>
    <w:rsid w:val="00E3774C"/>
    <w:rsid w:val="00E40515"/>
    <w:rsid w:val="00E45724"/>
    <w:rsid w:val="00E56A82"/>
    <w:rsid w:val="00E62A27"/>
    <w:rsid w:val="00E65B2E"/>
    <w:rsid w:val="00E72FB4"/>
    <w:rsid w:val="00E837D5"/>
    <w:rsid w:val="00E856B3"/>
    <w:rsid w:val="00E870A4"/>
    <w:rsid w:val="00E87C51"/>
    <w:rsid w:val="00EA7CCE"/>
    <w:rsid w:val="00EC18C4"/>
    <w:rsid w:val="00ED7E47"/>
    <w:rsid w:val="00EE247F"/>
    <w:rsid w:val="00EE566E"/>
    <w:rsid w:val="00EF6D5F"/>
    <w:rsid w:val="00F2639A"/>
    <w:rsid w:val="00F605E1"/>
    <w:rsid w:val="00F72021"/>
    <w:rsid w:val="00F85AF8"/>
    <w:rsid w:val="00FA21CA"/>
    <w:rsid w:val="00FA502D"/>
    <w:rsid w:val="00FB3063"/>
    <w:rsid w:val="00FB797E"/>
    <w:rsid w:val="00FB7F65"/>
    <w:rsid w:val="00FD1D81"/>
    <w:rsid w:val="00FD5BD8"/>
    <w:rsid w:val="00FE393B"/>
    <w:rsid w:val="00FE764A"/>
    <w:rsid w:val="00FE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46A1DD"/>
  <w15:docId w15:val="{3A4247F5-0032-479A-A5E9-B4FD10E6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3429"/>
    <w:rPr>
      <w:color w:val="0000FF"/>
      <w:u w:val="single"/>
    </w:rPr>
  </w:style>
  <w:style w:type="paragraph" w:styleId="BalloonText">
    <w:name w:val="Balloon Text"/>
    <w:basedOn w:val="Normal"/>
    <w:semiHidden/>
    <w:rsid w:val="008D56A1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430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7D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87D06"/>
    <w:rPr>
      <w:sz w:val="24"/>
      <w:szCs w:val="28"/>
      <w:lang w:eastAsia="ko-KR"/>
    </w:rPr>
  </w:style>
  <w:style w:type="paragraph" w:styleId="Footer">
    <w:name w:val="footer"/>
    <w:basedOn w:val="Normal"/>
    <w:link w:val="FooterChar"/>
    <w:uiPriority w:val="99"/>
    <w:rsid w:val="00A87D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7D06"/>
    <w:rPr>
      <w:sz w:val="24"/>
      <w:szCs w:val="28"/>
      <w:lang w:eastAsia="ko-KR"/>
    </w:rPr>
  </w:style>
  <w:style w:type="paragraph" w:styleId="BodyText">
    <w:name w:val="Body Text"/>
    <w:basedOn w:val="Normal"/>
    <w:link w:val="BodyTextChar"/>
    <w:rsid w:val="00D677F0"/>
    <w:pPr>
      <w:spacing w:after="120"/>
    </w:pPr>
    <w:rPr>
      <w:rFonts w:ascii="Cordia New" w:eastAsia="Times New Roman" w:hAnsi="Cordia New" w:cs="Cordia New"/>
      <w:sz w:val="28"/>
      <w:szCs w:val="32"/>
      <w:lang w:eastAsia="en-US"/>
    </w:rPr>
  </w:style>
  <w:style w:type="character" w:customStyle="1" w:styleId="BodyTextChar">
    <w:name w:val="Body Text Char"/>
    <w:link w:val="BodyText"/>
    <w:rsid w:val="00D677F0"/>
    <w:rPr>
      <w:rFonts w:ascii="Cordia New" w:eastAsia="Times New Roman" w:hAnsi="Cordia New" w:cs="Cordia New"/>
      <w:sz w:val="28"/>
      <w:szCs w:val="32"/>
    </w:rPr>
  </w:style>
  <w:style w:type="paragraph" w:styleId="ListParagraph">
    <w:name w:val="List Paragraph"/>
    <w:basedOn w:val="Normal"/>
    <w:uiPriority w:val="34"/>
    <w:qFormat/>
    <w:rsid w:val="00D84B2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32A3D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932A3D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932A3D"/>
    <w:rPr>
      <w:szCs w:val="25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2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2A3D"/>
    <w:rPr>
      <w:b/>
      <w:bCs/>
      <w:szCs w:val="25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7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1A403-5772-4FB6-A3CE-334C9A131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ประกาศสมาคมบริษัทหลักทรัพย์</vt:lpstr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ประกาศสมาคมบริษัทหลักทรัพย์</dc:title>
  <dc:creator>HP</dc:creator>
  <cp:lastModifiedBy>Bawornpan Ashakul</cp:lastModifiedBy>
  <cp:revision>2</cp:revision>
  <cp:lastPrinted>2021-10-25T02:33:00Z</cp:lastPrinted>
  <dcterms:created xsi:type="dcterms:W3CDTF">2021-11-02T03:56:00Z</dcterms:created>
  <dcterms:modified xsi:type="dcterms:W3CDTF">2021-11-02T03:56:00Z</dcterms:modified>
</cp:coreProperties>
</file>