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8669" w14:textId="4A2EF817" w:rsidR="00F87A63" w:rsidRDefault="00F87A63" w:rsidP="00F87A63">
      <w:pPr>
        <w:ind w:right="-765"/>
        <w:jc w:val="center"/>
        <w:rPr>
          <w:rFonts w:ascii="DilleniaUPC" w:hAnsi="DilleniaUPC" w:cs="DilleniaUPC"/>
          <w:b/>
          <w:bCs/>
          <w:sz w:val="36"/>
          <w:szCs w:val="36"/>
        </w:rPr>
      </w:pPr>
    </w:p>
    <w:p w14:paraId="530019DC" w14:textId="77777777" w:rsidR="00F87A63" w:rsidRDefault="00F87A63" w:rsidP="00F87A63">
      <w:pPr>
        <w:ind w:right="-765"/>
        <w:jc w:val="center"/>
        <w:rPr>
          <w:rFonts w:ascii="DilleniaUPC" w:hAnsi="DilleniaUPC" w:cs="DilleniaUPC"/>
          <w:b/>
          <w:bCs/>
          <w:sz w:val="36"/>
          <w:szCs w:val="36"/>
        </w:rPr>
      </w:pPr>
    </w:p>
    <w:p w14:paraId="37191DE7" w14:textId="77777777" w:rsidR="00963D11" w:rsidRDefault="00963D11" w:rsidP="00F87A63">
      <w:pPr>
        <w:ind w:right="-765"/>
        <w:jc w:val="center"/>
        <w:rPr>
          <w:rFonts w:ascii="DilleniaUPC" w:hAnsi="DilleniaUPC" w:cs="DilleniaUPC"/>
          <w:b/>
          <w:bCs/>
          <w:sz w:val="36"/>
          <w:szCs w:val="36"/>
        </w:rPr>
      </w:pPr>
    </w:p>
    <w:p w14:paraId="61440E54" w14:textId="03DD11CA" w:rsidR="002C53C3" w:rsidRPr="00D16D5E" w:rsidRDefault="007126D9" w:rsidP="00F87A63">
      <w:pPr>
        <w:ind w:right="-765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D16D5E">
        <w:rPr>
          <w:rFonts w:ascii="DilleniaUPC" w:hAnsi="DilleniaUPC" w:cs="DilleniaUPC" w:hint="cs"/>
          <w:b/>
          <w:bCs/>
          <w:sz w:val="36"/>
          <w:szCs w:val="36"/>
          <w:cs/>
        </w:rPr>
        <w:t>วิธีปฏิบัติ</w:t>
      </w:r>
    </w:p>
    <w:p w14:paraId="0AE6889B" w14:textId="5AE1DCC5" w:rsidR="00D766CF" w:rsidRPr="00D16D5E" w:rsidRDefault="000040E3" w:rsidP="00F87A63">
      <w:pPr>
        <w:ind w:right="-765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D16D5E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D766CF" w:rsidRPr="00D16D5E">
        <w:rPr>
          <w:rFonts w:ascii="DilleniaUPC" w:hAnsi="DilleniaUPC" w:cs="DilleniaUPC"/>
          <w:b/>
          <w:bCs/>
          <w:sz w:val="36"/>
          <w:szCs w:val="36"/>
          <w:cs/>
        </w:rPr>
        <w:t>หลักเกณฑ์และเ</w:t>
      </w:r>
      <w:r w:rsidR="007126D9" w:rsidRPr="00D16D5E">
        <w:rPr>
          <w:rFonts w:ascii="DilleniaUPC" w:hAnsi="DilleniaUPC" w:cs="DilleniaUPC"/>
          <w:b/>
          <w:bCs/>
          <w:sz w:val="36"/>
          <w:szCs w:val="36"/>
          <w:cs/>
        </w:rPr>
        <w:t>งื่อนไขการจ่ายค่าตอบแทน</w:t>
      </w:r>
      <w:r w:rsidR="007126D9" w:rsidRPr="00D16D5E">
        <w:rPr>
          <w:rFonts w:ascii="DilleniaUPC" w:hAnsi="DilleniaUPC" w:cs="DilleniaUPC" w:hint="cs"/>
          <w:b/>
          <w:bCs/>
          <w:sz w:val="36"/>
          <w:szCs w:val="36"/>
          <w:cs/>
        </w:rPr>
        <w:t>ผู้</w:t>
      </w:r>
      <w:r w:rsidR="00D766CF" w:rsidRPr="00D16D5E">
        <w:rPr>
          <w:rFonts w:ascii="DilleniaUPC" w:hAnsi="DilleniaUPC" w:cs="DilleniaUPC"/>
          <w:b/>
          <w:bCs/>
          <w:sz w:val="36"/>
          <w:szCs w:val="36"/>
          <w:cs/>
        </w:rPr>
        <w:t xml:space="preserve">แนะนำลูกค้า </w:t>
      </w:r>
    </w:p>
    <w:p w14:paraId="49135EDA" w14:textId="77777777" w:rsidR="00B956D4" w:rsidRPr="00F73177" w:rsidRDefault="00B956D4" w:rsidP="00F87A63">
      <w:pPr>
        <w:ind w:right="-765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F7317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14:paraId="072AA20C" w14:textId="26DF4791" w:rsidR="00FF55BE" w:rsidRDefault="00AD493C" w:rsidP="00F87A63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เพื่อให้เกิดความชัดเจนและเป็นแนวปฏิบัติในเรื่องการจ่ายผลตอบแทน</w:t>
      </w:r>
      <w:r w:rsidR="007126D9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ผู้</w:t>
      </w: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แนะนำลูกค้า ที่สมาชิก</w:t>
      </w:r>
      <w:r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ทำ</w:t>
      </w:r>
      <w:r w:rsidR="007556C5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สัญญาแต่งตั้งตัวแทน</w:t>
      </w:r>
      <w:r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กับ</w:t>
      </w:r>
      <w:r w:rsidR="00F924E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นิติบุคคลที่ประกอบธุรกิจหลักประเภท</w:t>
      </w:r>
      <w:r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ธนาคารพาณิชย์ </w:t>
      </w:r>
      <w:r w:rsidR="00F924E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หรือ</w:t>
      </w:r>
      <w:r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บริษัทประกันภัย </w:t>
      </w:r>
      <w:r w:rsidR="00F924E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หรือ</w:t>
      </w:r>
      <w:r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บริษัทประกันชีวิต </w:t>
      </w:r>
      <w:r w:rsidR="00F924E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หรือ</w:t>
      </w:r>
      <w:r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บริษัทหลักทรัพย์จัดการกองทุน </w:t>
      </w:r>
      <w:r w:rsidR="00F924E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หรือ</w:t>
      </w:r>
      <w:r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บริษัทตัวแทนสัญญาซื้อขายล่วงหน้า และพนักงานสมาชิกที่ไม่ใช่ผู้แนะนำการลงทุน</w:t>
      </w:r>
      <w:r w:rsidRPr="00F830B3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รวมถึง</w:t>
      </w:r>
      <w:r w:rsidR="007126D9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บุคคลและ</w:t>
      </w:r>
      <w:r w:rsidR="00D766CF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นิติบุคคลทั่วไป</w:t>
      </w:r>
      <w:r w:rsidR="00626226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ที่มีคุณสมบัติและดำรงคุณสมบัติเป็นไปตาม</w:t>
      </w:r>
      <w:r w:rsidR="00626226" w:rsidRPr="00626226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ประกาศสมาคมบริษัทหลักทรัพย์</w:t>
      </w:r>
      <w:r w:rsidR="00626226" w:rsidRPr="0062622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</w:t>
      </w:r>
      <w:r w:rsidR="00626226" w:rsidRPr="00626226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เรื่อง</w:t>
      </w:r>
      <w:r w:rsidR="00626226" w:rsidRPr="0062622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</w:t>
      </w:r>
      <w:r w:rsidR="00626226" w:rsidRPr="00626226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การปฏิบัติงานของสมาชิกในการแต่งตั้งผู้แนะนำลูกค้า</w:t>
      </w:r>
      <w:r w:rsidRPr="00F830B3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="00D766CF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เพื่อทำหน้าที่แนะนำลูกค้าให้กับสมาชิก </w:t>
      </w:r>
    </w:p>
    <w:p w14:paraId="46B1AFEE" w14:textId="77777777" w:rsidR="00F87A63" w:rsidRPr="00C25218" w:rsidRDefault="00F87A63" w:rsidP="00F87A63">
      <w:pPr>
        <w:ind w:right="-335" w:firstLine="720"/>
        <w:jc w:val="thaiDistribute"/>
        <w:rPr>
          <w:rFonts w:ascii="DilleniaUPC" w:eastAsia="Times New Roman" w:hAnsi="DilleniaUPC" w:cs="DilleniaUPC"/>
          <w:sz w:val="14"/>
          <w:szCs w:val="14"/>
          <w:lang w:eastAsia="en-US"/>
        </w:rPr>
      </w:pPr>
    </w:p>
    <w:p w14:paraId="09975977" w14:textId="5EC93F12" w:rsidR="00643429" w:rsidRDefault="00015952" w:rsidP="00F87A63">
      <w:pPr>
        <w:ind w:right="-335" w:firstLine="720"/>
        <w:jc w:val="thaiDistribute"/>
        <w:rPr>
          <w:rFonts w:ascii="DilleniaUPC" w:hAnsi="DilleniaUPC" w:cs="DilleniaUPC"/>
          <w:sz w:val="30"/>
          <w:szCs w:val="30"/>
        </w:rPr>
      </w:pPr>
      <w:r w:rsidRPr="00015952">
        <w:rPr>
          <w:rFonts w:ascii="Cordia New" w:hAnsi="Cordia New" w:cs="DilleniaUPC" w:hint="cs"/>
          <w:sz w:val="30"/>
          <w:szCs w:val="30"/>
          <w:cs/>
        </w:rPr>
        <w:t>อาศัยอำนาจตามความในข้อ</w:t>
      </w:r>
      <w:r w:rsidRPr="00015952">
        <w:rPr>
          <w:rFonts w:ascii="Cordia New" w:hAnsi="Cordia New" w:cs="DilleniaUPC"/>
          <w:sz w:val="30"/>
          <w:szCs w:val="30"/>
          <w:cs/>
        </w:rPr>
        <w:t xml:space="preserve"> 22 </w:t>
      </w:r>
      <w:r w:rsidRPr="00015952">
        <w:rPr>
          <w:rFonts w:ascii="Cordia New" w:hAnsi="Cordia New" w:cs="DilleniaUPC" w:hint="cs"/>
          <w:sz w:val="30"/>
          <w:szCs w:val="30"/>
          <w:cs/>
        </w:rPr>
        <w:t>แห่งข้อบังคับสมาคมบริษัทหลักทรัพย์ไทย</w:t>
      </w:r>
      <w:r w:rsidRPr="00015952">
        <w:rPr>
          <w:rFonts w:ascii="Cordia New" w:hAnsi="Cordia New" w:cs="DilleniaUPC"/>
          <w:sz w:val="30"/>
          <w:szCs w:val="30"/>
          <w:cs/>
        </w:rPr>
        <w:t xml:space="preserve"> </w:t>
      </w:r>
      <w:r w:rsidRPr="00015952">
        <w:rPr>
          <w:rFonts w:ascii="Cordia New" w:hAnsi="Cordia New" w:cs="DilleniaUPC" w:hint="cs"/>
          <w:sz w:val="30"/>
          <w:szCs w:val="30"/>
          <w:cs/>
        </w:rPr>
        <w:t>โดยความเห็นชอบของคณะกรรมการสมาคมบริษัทหลักทรัพย์ไทย</w:t>
      </w:r>
      <w:r w:rsidRPr="00015952">
        <w:rPr>
          <w:rFonts w:ascii="Cordia New" w:hAnsi="Cordia New" w:cs="DilleniaUPC"/>
          <w:sz w:val="30"/>
          <w:szCs w:val="30"/>
          <w:cs/>
        </w:rPr>
        <w:t xml:space="preserve"> </w:t>
      </w:r>
      <w:r>
        <w:rPr>
          <w:rFonts w:ascii="Cordia New" w:hAnsi="Cordia New" w:cs="DilleniaUPC" w:hint="cs"/>
          <w:sz w:val="30"/>
          <w:szCs w:val="30"/>
          <w:cs/>
        </w:rPr>
        <w:t>และเป็นไป</w:t>
      </w:r>
      <w:r w:rsidR="00FF55BE" w:rsidRPr="00F830B3">
        <w:rPr>
          <w:rFonts w:ascii="Cordia New" w:hAnsi="Cordia New" w:cs="DilleniaUPC" w:hint="cs"/>
          <w:sz w:val="30"/>
          <w:szCs w:val="30"/>
          <w:cs/>
        </w:rPr>
        <w:t>ตามประกาศสมาคมบริษัทหลักทรัพย์ไทย ที่ กส. 1/25</w:t>
      </w:r>
      <w:r>
        <w:rPr>
          <w:rFonts w:ascii="Cordia New" w:hAnsi="Cordia New" w:cs="DilleniaUPC" w:hint="cs"/>
          <w:sz w:val="30"/>
          <w:szCs w:val="30"/>
          <w:cs/>
        </w:rPr>
        <w:t>66</w:t>
      </w:r>
      <w:r w:rsidR="00FF55BE" w:rsidRPr="00F830B3">
        <w:rPr>
          <w:rFonts w:ascii="Cordia New" w:hAnsi="Cordia New" w:cs="DilleniaUPC" w:hint="cs"/>
          <w:sz w:val="30"/>
          <w:szCs w:val="30"/>
          <w:cs/>
        </w:rPr>
        <w:t xml:space="preserve"> เรื่อง การปฏิบัติงานของสมาชิกในการแต่งตั้งผู้แนะนำลูกค้า ข้อ </w:t>
      </w:r>
      <w:r>
        <w:rPr>
          <w:rFonts w:ascii="Cordia New" w:hAnsi="Cordia New" w:cs="DilleniaUPC" w:hint="cs"/>
          <w:sz w:val="30"/>
          <w:szCs w:val="30"/>
          <w:cs/>
        </w:rPr>
        <w:t>9</w:t>
      </w:r>
      <w:r w:rsidRPr="00F830B3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D766CF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สมาคมบริษัทหลักทรัพย์ไทย </w:t>
      </w:r>
      <w:r w:rsidRPr="00015952">
        <w:rPr>
          <w:rFonts w:ascii="Cordia New" w:hAnsi="Cordia New" w:cs="DilleniaUPC" w:hint="cs"/>
          <w:sz w:val="30"/>
          <w:szCs w:val="30"/>
          <w:cs/>
        </w:rPr>
        <w:t>จึงกำหนด</w:t>
      </w:r>
      <w:r w:rsidRPr="00015952">
        <w:rPr>
          <w:rFonts w:ascii="Cordia New" w:hAnsi="Cordia New" w:cs="DilleniaUPC"/>
          <w:sz w:val="30"/>
          <w:szCs w:val="30"/>
          <w:cs/>
        </w:rPr>
        <w:t xml:space="preserve"> </w:t>
      </w: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วิธีปฏิบัติ เรื่อง </w:t>
      </w:r>
      <w:r w:rsidR="00D766CF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หลักเกณฑ์ และเงื่อนไขการจ่ายค่าตอบแทน</w:t>
      </w:r>
      <w:r w:rsidR="007126D9" w:rsidRPr="00F830B3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ผู้</w:t>
      </w:r>
      <w:r w:rsidR="00D766CF" w:rsidRPr="00F830B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แนะนำลูกค้า </w:t>
      </w:r>
      <w:r w:rsidR="00A12389" w:rsidRPr="00F830B3">
        <w:rPr>
          <w:rFonts w:ascii="DilleniaUPC" w:hAnsi="DilleniaUPC" w:cs="DilleniaUPC"/>
          <w:sz w:val="30"/>
          <w:szCs w:val="30"/>
          <w:cs/>
        </w:rPr>
        <w:t>เพื่อให้สมาชิกถือปฏิบัติ ดังนี้</w:t>
      </w:r>
    </w:p>
    <w:p w14:paraId="6F33E015" w14:textId="77777777" w:rsidR="00F87A63" w:rsidRPr="00C25218" w:rsidRDefault="00F87A63" w:rsidP="00F87A63">
      <w:pPr>
        <w:ind w:right="-335" w:firstLine="720"/>
        <w:jc w:val="thaiDistribute"/>
        <w:rPr>
          <w:rFonts w:ascii="DilleniaUPC" w:hAnsi="DilleniaUPC" w:cs="DilleniaUPC"/>
          <w:sz w:val="14"/>
          <w:szCs w:val="14"/>
          <w:cs/>
        </w:rPr>
      </w:pPr>
    </w:p>
    <w:p w14:paraId="5A2D8A56" w14:textId="77777777" w:rsidR="00F87A63" w:rsidRPr="00C25218" w:rsidRDefault="00F87A63" w:rsidP="00F87A63">
      <w:pPr>
        <w:ind w:right="-335" w:firstLine="720"/>
        <w:jc w:val="thaiDistribute"/>
        <w:rPr>
          <w:rFonts w:ascii="DilleniaUPC" w:hAnsi="DilleniaUPC" w:cs="DilleniaUPC"/>
          <w:sz w:val="14"/>
          <w:szCs w:val="14"/>
          <w:lang w:eastAsia="en-US"/>
        </w:rPr>
      </w:pPr>
    </w:p>
    <w:p w14:paraId="0E4FD910" w14:textId="705A27D5" w:rsidR="00257A6F" w:rsidRDefault="00CC3FE1" w:rsidP="00F87A63">
      <w:pPr>
        <w:tabs>
          <w:tab w:val="left" w:pos="1276"/>
        </w:tabs>
        <w:ind w:right="-335" w:firstLine="720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ข้อ</w:t>
      </w:r>
      <w:r w:rsidR="00626226">
        <w:rPr>
          <w:rFonts w:ascii="DilleniaUPC" w:hAnsi="DilleniaUPC" w:cs="DilleniaUPC" w:hint="cs"/>
          <w:sz w:val="30"/>
          <w:szCs w:val="30"/>
          <w:cs/>
          <w:lang w:eastAsia="en-US"/>
        </w:rPr>
        <w:t>1</w:t>
      </w:r>
      <w:r w:rsidR="00F87A63">
        <w:rPr>
          <w:rFonts w:ascii="DilleniaUPC" w:hAnsi="DilleniaUPC" w:cs="DilleniaUPC"/>
          <w:sz w:val="30"/>
          <w:szCs w:val="30"/>
          <w:cs/>
          <w:lang w:eastAsia="en-US"/>
        </w:rPr>
        <w:tab/>
      </w:r>
      <w:r w:rsidR="00257A6F">
        <w:rPr>
          <w:rFonts w:ascii="DilleniaUPC" w:hAnsi="DilleniaUPC" w:cs="DilleniaUPC" w:hint="cs"/>
          <w:sz w:val="30"/>
          <w:szCs w:val="30"/>
          <w:cs/>
          <w:lang w:eastAsia="en-US"/>
        </w:rPr>
        <w:t>ในวิธีปฏิบัตินี้</w:t>
      </w:r>
    </w:p>
    <w:p w14:paraId="28470272" w14:textId="77777777" w:rsidR="00257A6F" w:rsidRPr="00257A6F" w:rsidRDefault="00257A6F" w:rsidP="00F87A63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“สำนักงาน ก.ล.ต.” หมายความว่า สำนักงานคณะกรรมการกำกับหลักทรัพย์และตลาดหลักทรัพย์</w:t>
      </w:r>
    </w:p>
    <w:p w14:paraId="47359BC4" w14:textId="77777777" w:rsidR="00257A6F" w:rsidRPr="00257A6F" w:rsidRDefault="00257A6F" w:rsidP="00F87A63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“ตลาดหลักทรัพย์”  หมายความว่า ตลาดหลักทรัพย์แห่งประเทศไทย</w:t>
      </w:r>
    </w:p>
    <w:p w14:paraId="6EA58B90" w14:textId="77777777" w:rsidR="00257A6F" w:rsidRPr="00257A6F" w:rsidRDefault="00257A6F" w:rsidP="00F87A63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“สมาคม”  หมายความว่า สมาคมบริษัทหลักทรัพย์ไทย</w:t>
      </w:r>
    </w:p>
    <w:p w14:paraId="5FE7F997" w14:textId="77777777" w:rsidR="00257A6F" w:rsidRPr="00257A6F" w:rsidRDefault="00257A6F" w:rsidP="00F87A63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/>
          <w:sz w:val="30"/>
          <w:szCs w:val="30"/>
          <w:lang w:eastAsia="en-US"/>
        </w:rPr>
        <w:t>“</w:t>
      </w: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สมาชิก</w:t>
      </w:r>
      <w:r w:rsidRPr="00257A6F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” </w:t>
      </w: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หมายความว่า บริษัทหลักทรัพย์ที่เป็นสมาชิกสมาคมบริษัทหลักทรัพย์ไทย</w:t>
      </w:r>
    </w:p>
    <w:p w14:paraId="615EED72" w14:textId="4DB70DE4" w:rsidR="00257A6F" w:rsidRPr="00257A6F" w:rsidRDefault="00257A6F" w:rsidP="00F87A63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3062A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“ลูกค้า”  หมายความว่า บุคคลทั่วไป (</w:t>
      </w:r>
      <w:r w:rsidRPr="003062A1">
        <w:rPr>
          <w:rFonts w:ascii="DilleniaUPC" w:eastAsia="Times New Roman" w:hAnsi="DilleniaUPC" w:cs="DilleniaUPC"/>
          <w:sz w:val="30"/>
          <w:szCs w:val="30"/>
          <w:lang w:eastAsia="en-US"/>
        </w:rPr>
        <w:t>Individual Investor</w:t>
      </w:r>
      <w:r w:rsidRPr="003062A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) </w:t>
      </w:r>
      <w:r w:rsidR="00015952" w:rsidRPr="0001595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และนิติบุคคลซึ่งไม่รวมถึงลูกค้าสถาบันที่เป็นนิติบุคคลตามนิยามสำนักงาน</w:t>
      </w:r>
      <w:r w:rsidR="00015952" w:rsidRPr="00015952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</w:t>
      </w:r>
      <w:r w:rsidR="00015952" w:rsidRPr="0001595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ก</w:t>
      </w:r>
      <w:r w:rsidR="00015952" w:rsidRPr="00015952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.</w:t>
      </w:r>
      <w:r w:rsidR="00015952" w:rsidRPr="0001595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ล</w:t>
      </w:r>
      <w:r w:rsidR="00015952" w:rsidRPr="00015952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.</w:t>
      </w:r>
      <w:r w:rsidR="00015952" w:rsidRPr="0001595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ต</w:t>
      </w:r>
      <w:r w:rsidR="00015952" w:rsidRPr="00015952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.</w:t>
      </w:r>
    </w:p>
    <w:p w14:paraId="11C81538" w14:textId="77777777" w:rsidR="00257A6F" w:rsidRDefault="00257A6F" w:rsidP="00F87A63">
      <w:pPr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57A6F">
        <w:rPr>
          <w:rFonts w:ascii="DilleniaUPC" w:eastAsia="Times New Roman" w:hAnsi="DilleniaUPC" w:cs="DilleniaUPC"/>
          <w:sz w:val="30"/>
          <w:szCs w:val="30"/>
          <w:lang w:eastAsia="en-US"/>
        </w:rPr>
        <w:t>“</w:t>
      </w: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หลักทรัพย์</w:t>
      </w:r>
      <w:r w:rsidRPr="00257A6F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” </w:t>
      </w:r>
      <w:r w:rsidRPr="00257A6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หมายความว่า หลักทรัพย์ที่ซื้อขายในตลาดหลักทรัพย์ หรือตลาดหลักทรัพย์เอ็มเอไอ หรือสัญญาซื้อขายล่วงหน้าที่ซื้อขายในตลาดสัญญาซื้อขายล่วงหน้า</w:t>
      </w:r>
    </w:p>
    <w:p w14:paraId="10A8F94E" w14:textId="77777777" w:rsidR="00F87A63" w:rsidRPr="00C25218" w:rsidRDefault="00F87A63" w:rsidP="00F87A63">
      <w:pPr>
        <w:ind w:right="-335" w:firstLine="720"/>
        <w:jc w:val="thaiDistribute"/>
        <w:rPr>
          <w:rFonts w:ascii="DilleniaUPC" w:eastAsia="Times New Roman" w:hAnsi="DilleniaUPC" w:cs="DilleniaUPC"/>
          <w:sz w:val="14"/>
          <w:szCs w:val="14"/>
          <w:lang w:eastAsia="en-US"/>
        </w:rPr>
      </w:pPr>
    </w:p>
    <w:p w14:paraId="43E2C0E9" w14:textId="1D1B25BB" w:rsidR="00AD493C" w:rsidRPr="00CC3FE1" w:rsidRDefault="00257A6F" w:rsidP="00F87A63">
      <w:pPr>
        <w:tabs>
          <w:tab w:val="left" w:pos="1276"/>
        </w:tabs>
        <w:ind w:right="-335" w:firstLine="720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ข้อ </w:t>
      </w:r>
      <w:r w:rsidR="00626226">
        <w:rPr>
          <w:rFonts w:ascii="DilleniaUPC" w:hAnsi="DilleniaUPC" w:cs="DilleniaUPC" w:hint="cs"/>
          <w:sz w:val="30"/>
          <w:szCs w:val="30"/>
          <w:cs/>
          <w:lang w:eastAsia="en-US"/>
        </w:rPr>
        <w:t>2</w:t>
      </w:r>
      <w:r w:rsidR="00F87A63">
        <w:rPr>
          <w:rFonts w:ascii="DilleniaUPC" w:hAnsi="DilleniaUPC" w:cs="DilleniaUPC"/>
          <w:sz w:val="30"/>
          <w:szCs w:val="30"/>
          <w:lang w:eastAsia="en-US"/>
        </w:rPr>
        <w:tab/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ให้สมาชิกจ่ายค่าตอบแทน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สำหรับผู้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แนะนำลูกค้า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ที่เป็น</w:t>
      </w:r>
      <w:r w:rsidR="003E0F38" w:rsidRPr="003E0F38">
        <w:rPr>
          <w:rFonts w:ascii="DilleniaUPC" w:hAnsi="DilleniaUPC" w:cs="DilleniaUPC" w:hint="cs"/>
          <w:sz w:val="30"/>
          <w:szCs w:val="30"/>
          <w:cs/>
          <w:lang w:eastAsia="en-US"/>
        </w:rPr>
        <w:t>นิติบุคคลที่ประกอบธุรกิจหลักประเภทธนาคารพาณิชย์</w:t>
      </w:r>
      <w:r w:rsidR="003E0F38" w:rsidRPr="003E0F38">
        <w:rPr>
          <w:rFonts w:ascii="DilleniaUPC" w:hAnsi="DilleniaUPC" w:cs="DilleniaUPC"/>
          <w:sz w:val="30"/>
          <w:szCs w:val="30"/>
          <w:cs/>
          <w:lang w:eastAsia="en-US"/>
        </w:rPr>
        <w:t xml:space="preserve"> </w:t>
      </w:r>
      <w:r w:rsidR="003E0F38" w:rsidRPr="003E0F38">
        <w:rPr>
          <w:rFonts w:ascii="DilleniaUPC" w:hAnsi="DilleniaUPC" w:cs="DilleniaUPC" w:hint="cs"/>
          <w:sz w:val="30"/>
          <w:szCs w:val="30"/>
          <w:cs/>
          <w:lang w:eastAsia="en-US"/>
        </w:rPr>
        <w:t>หรือบริษัทประกันภัย</w:t>
      </w:r>
      <w:r w:rsidR="003E0F38" w:rsidRPr="003E0F38">
        <w:rPr>
          <w:rFonts w:ascii="DilleniaUPC" w:hAnsi="DilleniaUPC" w:cs="DilleniaUPC"/>
          <w:sz w:val="30"/>
          <w:szCs w:val="30"/>
          <w:cs/>
          <w:lang w:eastAsia="en-US"/>
        </w:rPr>
        <w:t xml:space="preserve"> </w:t>
      </w:r>
      <w:r w:rsidR="003E0F38" w:rsidRPr="003E0F38">
        <w:rPr>
          <w:rFonts w:ascii="DilleniaUPC" w:hAnsi="DilleniaUPC" w:cs="DilleniaUPC" w:hint="cs"/>
          <w:sz w:val="30"/>
          <w:szCs w:val="30"/>
          <w:cs/>
          <w:lang w:eastAsia="en-US"/>
        </w:rPr>
        <w:t>หรือบริษัทประกันชีวิต</w:t>
      </w:r>
      <w:r w:rsidR="003E0F38" w:rsidRPr="003E0F38">
        <w:rPr>
          <w:rFonts w:ascii="DilleniaUPC" w:hAnsi="DilleniaUPC" w:cs="DilleniaUPC"/>
          <w:sz w:val="30"/>
          <w:szCs w:val="30"/>
          <w:cs/>
          <w:lang w:eastAsia="en-US"/>
        </w:rPr>
        <w:t xml:space="preserve"> </w:t>
      </w:r>
      <w:r w:rsidR="00F924E1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3E0F38" w:rsidRPr="003E0F38">
        <w:rPr>
          <w:rFonts w:ascii="DilleniaUPC" w:hAnsi="DilleniaUPC" w:cs="DilleniaUPC" w:hint="cs"/>
          <w:sz w:val="30"/>
          <w:szCs w:val="30"/>
          <w:cs/>
          <w:lang w:eastAsia="en-US"/>
        </w:rPr>
        <w:t>บริษัทหลักทรัพย์จัดการกองทุน</w:t>
      </w:r>
      <w:r w:rsidR="003E0F38" w:rsidRPr="003E0F38">
        <w:rPr>
          <w:rFonts w:ascii="DilleniaUPC" w:hAnsi="DilleniaUPC" w:cs="DilleniaUPC"/>
          <w:sz w:val="30"/>
          <w:szCs w:val="30"/>
          <w:cs/>
          <w:lang w:eastAsia="en-US"/>
        </w:rPr>
        <w:t xml:space="preserve"> </w:t>
      </w:r>
      <w:r w:rsidR="00F924E1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3E0F38" w:rsidRPr="003E0F38">
        <w:rPr>
          <w:rFonts w:ascii="DilleniaUPC" w:hAnsi="DilleniaUPC" w:cs="DilleniaUPC" w:hint="cs"/>
          <w:sz w:val="30"/>
          <w:szCs w:val="30"/>
          <w:cs/>
          <w:lang w:eastAsia="en-US"/>
        </w:rPr>
        <w:t>บริษัทตัวแทนสัญญาซื้อขายล่วงหน้า</w:t>
      </w:r>
      <w:r w:rsidR="003E0F38" w:rsidRPr="003E0F38">
        <w:rPr>
          <w:rFonts w:ascii="DilleniaUPC" w:hAnsi="DilleniaUPC" w:cs="DilleniaUPC"/>
          <w:sz w:val="30"/>
          <w:szCs w:val="30"/>
          <w:cs/>
          <w:lang w:eastAsia="en-US"/>
        </w:rPr>
        <w:t xml:space="preserve">  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และพนักงาน</w:t>
      </w:r>
      <w:r w:rsidR="003E0F38">
        <w:rPr>
          <w:rFonts w:ascii="DilleniaUPC" w:hAnsi="DilleniaUPC" w:cs="DilleniaUPC" w:hint="cs"/>
          <w:sz w:val="30"/>
          <w:szCs w:val="30"/>
          <w:cs/>
          <w:lang w:eastAsia="en-US"/>
        </w:rPr>
        <w:t>ของ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สมาชิกที่ไม่ใช่ผู้แนะนำการลงทุน ในอัตรา</w:t>
      </w:r>
      <w:r w:rsidR="00A85CA3">
        <w:rPr>
          <w:rFonts w:ascii="DilleniaUPC" w:hAnsi="DilleniaUPC" w:cs="DilleniaUPC" w:hint="cs"/>
          <w:sz w:val="30"/>
          <w:szCs w:val="30"/>
          <w:cs/>
          <w:lang w:eastAsia="en-US"/>
        </w:rPr>
        <w:t>และเงื่อนไข</w:t>
      </w:r>
      <w:r w:rsidR="00E67182">
        <w:rPr>
          <w:rFonts w:ascii="DilleniaUPC" w:hAnsi="DilleniaUPC" w:cs="DilleniaUPC" w:hint="cs"/>
          <w:sz w:val="30"/>
          <w:szCs w:val="30"/>
          <w:cs/>
          <w:lang w:eastAsia="en-US"/>
        </w:rPr>
        <w:t>ดังนี้</w:t>
      </w:r>
    </w:p>
    <w:p w14:paraId="6D0F93FE" w14:textId="7F16C13B" w:rsidR="00CC3FE1" w:rsidRDefault="00AD493C" w:rsidP="00F87A63">
      <w:pPr>
        <w:pStyle w:val="NoSpacing"/>
        <w:numPr>
          <w:ilvl w:val="0"/>
          <w:numId w:val="8"/>
        </w:numPr>
        <w:ind w:left="1701" w:right="-335" w:hanging="425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ค่าตอบแทนครั้งแรก (</w:t>
      </w:r>
      <w:r w:rsidRPr="00CC3FE1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Up-Front-Fee) </w:t>
      </w: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ให้สมาชิกจ่ายได้ในอัตราไม่เกิน</w:t>
      </w:r>
      <w:r w:rsidRPr="00CC3FE1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 1,000</w:t>
      </w:r>
      <w:r w:rsidR="00D16D5E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บาท ทั้งนี้ ลูกค้าที่สมาชิกได้อนุมัติให้เปิดบัญชีและได้รับค่าธรรมเนียมจากการซื้อขายหลักทรัพย์และสัญญาซื้อขายล่วงหน้าจากลูกค้า</w:t>
      </w:r>
      <w:r w:rsidR="007556C5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ต้องไม่ต่ำกว่าอัตราที่สมาชิกจ่ายให้แก่</w:t>
      </w:r>
      <w:r w:rsidR="00682A27" w:rsidRPr="00682A27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นิติบุคคลที่ประกอบธุรกิจหลักประเภท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ธนาคารพาณิชย์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บริษัทประกันภัย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บริษัทประกันชีวิต </w:t>
      </w:r>
      <w:r w:rsidR="00682A27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บริษัทหลักทรัพย์จัดการกองทุน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หรือ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บริษัทตัวแทนสัญญาซื้อขายล่วงหน้า </w:t>
      </w:r>
      <w:r w:rsidR="005728B3">
        <w:rPr>
          <w:rFonts w:ascii="DilleniaUPC" w:hAnsi="DilleniaUPC" w:cs="DilleniaUPC" w:hint="cs"/>
          <w:sz w:val="30"/>
          <w:szCs w:val="30"/>
          <w:cs/>
          <w:lang w:eastAsia="en-US"/>
        </w:rPr>
        <w:t>และ</w:t>
      </w:r>
      <w:r w:rsidR="00DD2632" w:rsidRPr="00CC3FE1">
        <w:rPr>
          <w:rFonts w:ascii="DilleniaUPC" w:hAnsi="DilleniaUPC" w:cs="DilleniaUPC"/>
          <w:sz w:val="30"/>
          <w:szCs w:val="30"/>
          <w:cs/>
          <w:lang w:eastAsia="en-US"/>
        </w:rPr>
        <w:t>พนักงานสมาชิกที่ไม่ใช่ผู้แนะนำการลงทุน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รายนั้น</w:t>
      </w:r>
      <w:r w:rsidR="00F87A63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DD2632">
        <w:rPr>
          <w:rFonts w:ascii="DilleniaUPC" w:hAnsi="DilleniaUPC" w:cs="DilleniaUPC" w:hint="cs"/>
          <w:sz w:val="30"/>
          <w:szCs w:val="30"/>
          <w:cs/>
          <w:lang w:eastAsia="en-US"/>
        </w:rPr>
        <w:t>ๆ</w:t>
      </w:r>
    </w:p>
    <w:p w14:paraId="1BA7B9E5" w14:textId="77777777" w:rsidR="000C0120" w:rsidRDefault="000C0120" w:rsidP="000C0120">
      <w:pPr>
        <w:pStyle w:val="NoSpacing"/>
        <w:ind w:left="1701" w:right="-335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</w:p>
    <w:p w14:paraId="09AD5FF4" w14:textId="31E419BF" w:rsidR="00CC3FE1" w:rsidRDefault="00AD493C" w:rsidP="00F87A63">
      <w:pPr>
        <w:pStyle w:val="NoSpacing"/>
        <w:numPr>
          <w:ilvl w:val="0"/>
          <w:numId w:val="8"/>
        </w:numPr>
        <w:ind w:left="1701" w:right="-335" w:hanging="425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lastRenderedPageBreak/>
        <w:t xml:space="preserve">ค่าตอบแทนหลังจากรับเป็นลูกค้า </w:t>
      </w:r>
      <w:r w:rsidRPr="00CC3FE1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(Retaining Fee) </w:t>
      </w:r>
      <w:r w:rsidRPr="00CC3FE1">
        <w:rPr>
          <w:rFonts w:ascii="DilleniaUPC" w:hAnsi="DilleniaUPC" w:cs="DilleniaUPC"/>
          <w:sz w:val="30"/>
          <w:szCs w:val="30"/>
          <w:lang w:eastAsia="en-US"/>
        </w:rPr>
        <w:t xml:space="preserve">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ให้จ่ายได้เป็นเวลาไม่เกิน 2 ปี 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นับจากวันที่</w:t>
      </w:r>
      <w:r w:rsidR="007556C5">
        <w:rPr>
          <w:rFonts w:ascii="DilleniaUPC" w:hAnsi="DilleniaUPC" w:cs="DilleniaUPC" w:hint="cs"/>
          <w:sz w:val="30"/>
          <w:szCs w:val="30"/>
          <w:cs/>
          <w:lang w:eastAsia="en-US"/>
        </w:rPr>
        <w:t>อนุมัติ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เปิดบัญชีซื้อขายหลักทรัพย์ของลูกค้ารายนั้น</w:t>
      </w:r>
      <w:r w:rsidR="00F87A63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ๆ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ในอัตราดังนี้</w:t>
      </w:r>
    </w:p>
    <w:p w14:paraId="5B46BDAD" w14:textId="16BC89E2" w:rsidR="00CC3FE1" w:rsidRDefault="00CC3FE1" w:rsidP="00F87A63">
      <w:pPr>
        <w:pStyle w:val="NoSpacing"/>
        <w:ind w:left="2268" w:right="-335" w:hanging="566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(2.1)</w:t>
      </w:r>
      <w:r w:rsidR="00F87A6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ปีที่ 1</w:t>
      </w: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นับจากวันที่</w:t>
      </w:r>
      <w:r w:rsidR="007556C5">
        <w:rPr>
          <w:rFonts w:ascii="DilleniaUPC" w:hAnsi="DilleniaUPC" w:cs="DilleniaUPC" w:hint="cs"/>
          <w:sz w:val="30"/>
          <w:szCs w:val="30"/>
          <w:cs/>
          <w:lang w:eastAsia="en-US"/>
        </w:rPr>
        <w:t>อนุมัติ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เปิดบัญชีซื้อขายหลักทรัพย์ของลูกค้ารายนั้น</w:t>
      </w:r>
      <w:r w:rsidR="00F87A63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ๆ ให้</w:t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จ่ายในอัตรา</w:t>
      </w:r>
      <w:r w:rsidR="00AB083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   </w:t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ไม่เกินร้อยละ 10 ของค่าธรรมเนียมที่สมาชิกได้รับตามมูลค่าการซื้อขายหลักทรัพย์และสัญญาซื้อขายล่วงหน้าของลูกค้าที่แนะนำมา</w:t>
      </w:r>
    </w:p>
    <w:p w14:paraId="43E76BDE" w14:textId="5A02603E" w:rsidR="00AD493C" w:rsidRDefault="00CC3FE1" w:rsidP="00F87A63">
      <w:pPr>
        <w:pStyle w:val="NoSpacing"/>
        <w:ind w:left="2268" w:right="-335" w:hanging="566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(2.2)</w:t>
      </w:r>
      <w:r w:rsidR="00F87A63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ปีที่ 2 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นับจากวันที่</w:t>
      </w:r>
      <w:r w:rsidR="007556C5">
        <w:rPr>
          <w:rFonts w:ascii="DilleniaUPC" w:hAnsi="DilleniaUPC" w:cs="DilleniaUPC" w:hint="cs"/>
          <w:sz w:val="30"/>
          <w:szCs w:val="30"/>
          <w:cs/>
          <w:lang w:eastAsia="en-US"/>
        </w:rPr>
        <w:t>อนุมัติ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เปิดบัญชีซื้อขายหลักทรัพย์ของลูกค้ารายนั้น</w:t>
      </w:r>
      <w:r w:rsidR="00F87A63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ๆ ให้</w:t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จ่ายในอัตรา</w:t>
      </w:r>
      <w:r w:rsidR="00AB083F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   </w:t>
      </w:r>
      <w:r w:rsidR="00AD493C" w:rsidRPr="00CC3FE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ไม่เกินร้อยละ 5 ของค่าธรรมเนียมที่สมาชิกได้รับตามมูลค่าการซื้อขายหลักทรัพย์ และสัญญาซื้อขายล่วงหน้าของลูกค้าที่แนะนำมา</w:t>
      </w:r>
    </w:p>
    <w:p w14:paraId="2F25FF1F" w14:textId="77777777" w:rsidR="00F87A63" w:rsidRPr="00F87A63" w:rsidRDefault="00F87A63" w:rsidP="00F87A63">
      <w:pPr>
        <w:pStyle w:val="NoSpacing"/>
        <w:ind w:left="2127" w:right="-335" w:hanging="425"/>
        <w:jc w:val="thaiDistribute"/>
        <w:rPr>
          <w:rFonts w:ascii="DilleniaUPC" w:eastAsia="Times New Roman" w:hAnsi="DilleniaUPC" w:cs="DilleniaUPC"/>
          <w:sz w:val="16"/>
          <w:szCs w:val="16"/>
          <w:lang w:eastAsia="en-US"/>
        </w:rPr>
      </w:pPr>
    </w:p>
    <w:p w14:paraId="2021EB35" w14:textId="78451F70" w:rsidR="00D766CF" w:rsidRPr="00F73177" w:rsidRDefault="00CC3FE1" w:rsidP="00F87A63">
      <w:pPr>
        <w:tabs>
          <w:tab w:val="left" w:pos="1276"/>
        </w:tabs>
        <w:ind w:right="-335"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6262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3 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</w:t>
      </w:r>
      <w:r w:rsidR="00D766CF" w:rsidRPr="00F87A63">
        <w:rPr>
          <w:rFonts w:ascii="DilleniaUPC" w:hAnsi="DilleniaUPC" w:cs="DilleniaUPC"/>
          <w:sz w:val="30"/>
          <w:szCs w:val="30"/>
          <w:cs/>
          <w:lang w:eastAsia="en-US"/>
        </w:rPr>
        <w:t>สมาชิก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จ่ายค่าตอบแทนให้แก่</w:t>
      </w:r>
      <w:r w:rsidR="007126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ผู้แนะนำลูกค้าที่เป็น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บุคคล</w:t>
      </w:r>
      <w:r w:rsidR="007556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ธรรมดา</w:t>
      </w:r>
      <w:r w:rsidR="00EE455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7556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นิติบุคคล</w:t>
      </w:r>
      <w:r w:rsidR="007126D9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ทั่วไป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ที่</w:t>
      </w:r>
      <w:r w:rsidR="003E0F3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ไม่ใช่ผู้แนะนำลูกค้าตามข้อ </w:t>
      </w:r>
      <w:r w:rsidR="006262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2 </w:t>
      </w:r>
      <w:r w:rsidR="00D766CF" w:rsidRPr="00F73177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ในอัตรา</w:t>
      </w:r>
      <w:r w:rsidR="00A85CA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และเงื่อนไข</w:t>
      </w:r>
      <w:r w:rsidR="00E671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ดังนี้</w:t>
      </w:r>
    </w:p>
    <w:p w14:paraId="504915A3" w14:textId="3E95C334" w:rsidR="00CC3FE1" w:rsidRDefault="00D766CF" w:rsidP="00F87A63">
      <w:pPr>
        <w:pStyle w:val="NoSpacing"/>
        <w:numPr>
          <w:ilvl w:val="0"/>
          <w:numId w:val="9"/>
        </w:numPr>
        <w:ind w:left="1701" w:right="-335" w:hanging="425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ค่าตอบแทนครั้งแรก (</w:t>
      </w:r>
      <w:r w:rsidRPr="00CC3FE1">
        <w:rPr>
          <w:rFonts w:ascii="DilleniaUPC" w:hAnsi="DilleniaUPC" w:cs="DilleniaUPC"/>
          <w:sz w:val="30"/>
          <w:szCs w:val="30"/>
          <w:lang w:eastAsia="en-US"/>
        </w:rPr>
        <w:t xml:space="preserve">Up-Front-Fee)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ให้สมาชิกจ่ายได้ในอัตราไม่เกินกว่า</w:t>
      </w:r>
      <w:r w:rsidRPr="00CC3FE1">
        <w:rPr>
          <w:rFonts w:ascii="DilleniaUPC" w:hAnsi="DilleniaUPC" w:cs="DilleniaUPC"/>
          <w:sz w:val="30"/>
          <w:szCs w:val="30"/>
          <w:lang w:eastAsia="en-US"/>
        </w:rPr>
        <w:t xml:space="preserve"> 1,000</w:t>
      </w:r>
      <w:r w:rsidR="00D16D5E">
        <w:rPr>
          <w:rFonts w:ascii="DilleniaUPC" w:hAnsi="DilleniaUPC" w:cs="DilleniaUPC"/>
          <w:sz w:val="30"/>
          <w:szCs w:val="30"/>
          <w:lang w:eastAsia="en-US"/>
        </w:rPr>
        <w:t xml:space="preserve">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บาท ทั้งนี้ ลูกค้าที่สมาชิกได้อนุมัติให้เปิดบัญชี และได้รับค่าธรรมเนียมจากการซื้อขายหลักทรัพย์และสัญญาซื้อขายล่วงหน้าจากลูกค้า</w:t>
      </w:r>
      <w:r w:rsidR="00CD36A9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ต้องไม่ต่ำกว่าอัตราที่สมาชิกจ่ายให้แก่ผู้แนะนำลูกค้า</w:t>
      </w:r>
      <w:r w:rsidR="00CD36A9">
        <w:rPr>
          <w:rFonts w:ascii="DilleniaUPC" w:hAnsi="DilleniaUPC" w:cs="DilleniaUPC" w:hint="cs"/>
          <w:sz w:val="30"/>
          <w:szCs w:val="30"/>
          <w:cs/>
          <w:lang w:eastAsia="en-US"/>
        </w:rPr>
        <w:t>รายนั้น</w:t>
      </w:r>
      <w:r w:rsidR="00F87A63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CD36A9">
        <w:rPr>
          <w:rFonts w:ascii="DilleniaUPC" w:hAnsi="DilleniaUPC" w:cs="DilleniaUPC" w:hint="cs"/>
          <w:sz w:val="30"/>
          <w:szCs w:val="30"/>
          <w:cs/>
          <w:lang w:eastAsia="en-US"/>
        </w:rPr>
        <w:t>ๆ</w:t>
      </w:r>
    </w:p>
    <w:p w14:paraId="1ECFEFB3" w14:textId="77777777" w:rsidR="00D766CF" w:rsidRPr="00CC3FE1" w:rsidRDefault="00D766CF" w:rsidP="00F87A63">
      <w:pPr>
        <w:pStyle w:val="NoSpacing"/>
        <w:numPr>
          <w:ilvl w:val="0"/>
          <w:numId w:val="9"/>
        </w:numPr>
        <w:ind w:left="1701" w:right="-335" w:hanging="425"/>
        <w:jc w:val="thaiDistribute"/>
        <w:rPr>
          <w:rFonts w:ascii="DilleniaUPC" w:hAnsi="DilleniaUPC" w:cs="DilleniaUPC"/>
          <w:sz w:val="30"/>
          <w:szCs w:val="30"/>
          <w:cs/>
          <w:lang w:eastAsia="en-US"/>
        </w:rPr>
      </w:pP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ค่าตอบแทนหลังจากรับเป็นลูกค้า </w:t>
      </w:r>
      <w:r w:rsidRPr="00CC3FE1">
        <w:rPr>
          <w:rFonts w:ascii="DilleniaUPC" w:hAnsi="DilleniaUPC" w:cs="DilleniaUPC"/>
          <w:sz w:val="30"/>
          <w:szCs w:val="30"/>
          <w:lang w:eastAsia="en-US"/>
        </w:rPr>
        <w:t xml:space="preserve">(Retaining Fee) </w:t>
      </w:r>
      <w:r w:rsidRPr="00CC3FE1">
        <w:rPr>
          <w:rFonts w:ascii="DilleniaUPC" w:hAnsi="DilleniaUPC" w:cs="DilleniaUPC"/>
          <w:sz w:val="30"/>
          <w:szCs w:val="30"/>
          <w:cs/>
          <w:lang w:eastAsia="en-US"/>
        </w:rPr>
        <w:t>ให้จ่ายได้ในอัตราดังนี้</w:t>
      </w:r>
    </w:p>
    <w:p w14:paraId="5DE446B6" w14:textId="19D5EA9A" w:rsidR="00CC3FE1" w:rsidRDefault="00CC3FE1" w:rsidP="00F87A63">
      <w:pPr>
        <w:pStyle w:val="NoSpacing"/>
        <w:ind w:left="2268" w:right="-335" w:hanging="567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  <w:lang w:eastAsia="en-US"/>
        </w:rPr>
        <w:t>(2.1</w:t>
      </w:r>
      <w:r w:rsidR="00D766CF" w:rsidRPr="00CC3FE1">
        <w:rPr>
          <w:rFonts w:ascii="DilleniaUPC" w:hAnsi="DilleniaUPC" w:cs="DilleniaUPC"/>
          <w:sz w:val="30"/>
          <w:szCs w:val="30"/>
          <w:cs/>
          <w:lang w:eastAsia="en-US"/>
        </w:rPr>
        <w:t>)</w:t>
      </w:r>
      <w:r w:rsidR="00F87A63">
        <w:rPr>
          <w:rFonts w:ascii="DilleniaUPC" w:hAnsi="DilleniaUPC" w:cs="DilleniaUPC"/>
          <w:sz w:val="30"/>
          <w:szCs w:val="30"/>
          <w:cs/>
          <w:lang w:eastAsia="en-US"/>
        </w:rPr>
        <w:tab/>
      </w:r>
      <w:r w:rsidR="00EE4557">
        <w:rPr>
          <w:rFonts w:ascii="DilleniaUPC" w:hAnsi="DilleniaUPC" w:cs="DilleniaUPC" w:hint="cs"/>
          <w:sz w:val="30"/>
          <w:szCs w:val="30"/>
          <w:cs/>
          <w:lang w:eastAsia="en-US"/>
        </w:rPr>
        <w:t>ตั้งแต่</w:t>
      </w:r>
      <w:r w:rsidR="00D766CF" w:rsidRPr="00CC3FE1">
        <w:rPr>
          <w:rFonts w:ascii="DilleniaUPC" w:hAnsi="DilleniaUPC" w:cs="DilleniaUPC"/>
          <w:sz w:val="30"/>
          <w:szCs w:val="30"/>
          <w:cs/>
          <w:lang w:eastAsia="en-US"/>
        </w:rPr>
        <w:t>ปีที่ 1</w:t>
      </w:r>
      <w:r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นับจากวันที่</w:t>
      </w:r>
      <w:r w:rsidR="00CD36A9">
        <w:rPr>
          <w:rFonts w:ascii="DilleniaUPC" w:hAnsi="DilleniaUPC" w:cs="DilleniaUPC" w:hint="cs"/>
          <w:sz w:val="30"/>
          <w:szCs w:val="30"/>
          <w:cs/>
          <w:lang w:eastAsia="en-US"/>
        </w:rPr>
        <w:t>อนุมัติ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เปิดบัญชีซื้อขายหลักทรัพย์ของลูกค้ารายนั้น</w:t>
      </w:r>
      <w:r w:rsidR="00F87A63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7126D9">
        <w:rPr>
          <w:rFonts w:ascii="DilleniaUPC" w:hAnsi="DilleniaUPC" w:cs="DilleniaUPC" w:hint="cs"/>
          <w:sz w:val="30"/>
          <w:szCs w:val="30"/>
          <w:cs/>
          <w:lang w:eastAsia="en-US"/>
        </w:rPr>
        <w:t>ๆ ให้</w:t>
      </w:r>
      <w:r w:rsidR="00D766CF" w:rsidRPr="00CC3FE1">
        <w:rPr>
          <w:rFonts w:ascii="DilleniaUPC" w:hAnsi="DilleniaUPC" w:cs="DilleniaUPC"/>
          <w:sz w:val="30"/>
          <w:szCs w:val="30"/>
          <w:cs/>
          <w:lang w:eastAsia="en-US"/>
        </w:rPr>
        <w:t>จ่ายในอัตรา</w:t>
      </w:r>
      <w:r w:rsidR="00EF7CDE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D766CF" w:rsidRPr="00CC3FE1">
        <w:rPr>
          <w:rFonts w:ascii="DilleniaUPC" w:hAnsi="DilleniaUPC" w:cs="DilleniaUPC"/>
          <w:sz w:val="30"/>
          <w:szCs w:val="30"/>
          <w:cs/>
          <w:lang w:eastAsia="en-US"/>
        </w:rPr>
        <w:t>ไม่เกินร้อยละ 10 ของค่าธรรมเนียมที่สมาชิกได้รับตามมูลค่าการซื้อขายหลักทรัพย์และสัญญาซื้อขายล่วงหน้าของลูกค้าที่แนะนำมา</w:t>
      </w:r>
    </w:p>
    <w:p w14:paraId="1979A88F" w14:textId="0ED3F9C3" w:rsidR="00CC3FE1" w:rsidRDefault="00CC3FE1" w:rsidP="00F87A63">
      <w:pPr>
        <w:pStyle w:val="NoSpacing"/>
        <w:ind w:left="2268" w:right="-335" w:hanging="567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  <w:lang w:eastAsia="en-US"/>
        </w:rPr>
        <w:t>(2.</w:t>
      </w:r>
      <w:r w:rsidR="0001203B">
        <w:rPr>
          <w:rFonts w:ascii="DilleniaUPC" w:hAnsi="DilleniaUPC" w:cs="DilleniaUPC"/>
          <w:sz w:val="30"/>
          <w:szCs w:val="30"/>
          <w:lang w:eastAsia="en-US"/>
        </w:rPr>
        <w:t>2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)</w:t>
      </w:r>
      <w:r w:rsidR="00F87A63">
        <w:rPr>
          <w:rFonts w:ascii="DilleniaUPC" w:hAnsi="DilleniaUPC" w:cs="DilleniaUPC"/>
          <w:sz w:val="30"/>
          <w:szCs w:val="30"/>
          <w:cs/>
          <w:lang w:eastAsia="en-US"/>
        </w:rPr>
        <w:tab/>
      </w:r>
      <w:r w:rsidR="00F830B3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สมาชิกไม่สามารถจ่ายค่าตอบแทน </w:t>
      </w:r>
      <w:r w:rsidR="00F830B3" w:rsidRPr="00CC3FE1">
        <w:rPr>
          <w:rFonts w:ascii="DilleniaUPC" w:hAnsi="DilleniaUPC" w:cs="DilleniaUPC"/>
          <w:sz w:val="30"/>
          <w:szCs w:val="30"/>
          <w:lang w:eastAsia="en-US"/>
        </w:rPr>
        <w:t xml:space="preserve">(Retaining Fee) </w:t>
      </w:r>
      <w:r w:rsidR="00F830B3">
        <w:rPr>
          <w:rFonts w:ascii="DilleniaUPC" w:hAnsi="DilleniaUPC" w:cs="DilleniaUPC" w:hint="cs"/>
          <w:sz w:val="30"/>
          <w:szCs w:val="30"/>
          <w:cs/>
          <w:lang w:eastAsia="en-US"/>
        </w:rPr>
        <w:t>ในช่วงระยะเวลาที่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ผู้แนะนำลูกค้า</w:t>
      </w:r>
      <w:r w:rsidR="00766160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  </w:t>
      </w:r>
      <w:r w:rsidR="00AC5082">
        <w:rPr>
          <w:rFonts w:ascii="DilleniaUPC" w:hAnsi="DilleniaUPC" w:cs="DilleniaUPC" w:hint="cs"/>
          <w:sz w:val="30"/>
          <w:szCs w:val="30"/>
          <w:cs/>
          <w:lang w:eastAsia="en-US"/>
        </w:rPr>
        <w:t>ขาดคุณสมบัติตามที่กำหนดใน</w:t>
      </w:r>
      <w:r w:rsidR="00AC5082" w:rsidRPr="00AC5082">
        <w:rPr>
          <w:rFonts w:ascii="DilleniaUPC" w:hAnsi="DilleniaUPC" w:cs="DilleniaUPC" w:hint="cs"/>
          <w:sz w:val="30"/>
          <w:szCs w:val="30"/>
          <w:cs/>
          <w:lang w:eastAsia="en-US"/>
        </w:rPr>
        <w:t>ประกาศสมาคมบริษัทหลักทรัพย์ไทยที่</w:t>
      </w:r>
      <w:r w:rsidR="00AC5082" w:rsidRPr="00AC5082">
        <w:rPr>
          <w:rFonts w:ascii="DilleniaUPC" w:hAnsi="DilleniaUPC" w:cs="DilleniaUPC"/>
          <w:sz w:val="30"/>
          <w:szCs w:val="30"/>
          <w:cs/>
          <w:lang w:eastAsia="en-US"/>
        </w:rPr>
        <w:t xml:space="preserve"> </w:t>
      </w:r>
      <w:r w:rsidR="00AC5082" w:rsidRPr="00AC5082">
        <w:rPr>
          <w:rFonts w:ascii="DilleniaUPC" w:hAnsi="DilleniaUPC" w:cs="DilleniaUPC" w:hint="cs"/>
          <w:sz w:val="30"/>
          <w:szCs w:val="30"/>
          <w:cs/>
          <w:lang w:eastAsia="en-US"/>
        </w:rPr>
        <w:t>กส</w:t>
      </w:r>
      <w:r w:rsidR="00AC5082" w:rsidRPr="00AC5082">
        <w:rPr>
          <w:rFonts w:ascii="DilleniaUPC" w:hAnsi="DilleniaUPC" w:cs="DilleniaUPC"/>
          <w:sz w:val="30"/>
          <w:szCs w:val="30"/>
          <w:cs/>
          <w:lang w:eastAsia="en-US"/>
        </w:rPr>
        <w:t xml:space="preserve">. </w:t>
      </w:r>
      <w:r w:rsidR="00493D0D">
        <w:rPr>
          <w:rFonts w:ascii="DilleniaUPC" w:hAnsi="DilleniaUPC" w:cs="DilleniaUPC" w:hint="cs"/>
          <w:sz w:val="30"/>
          <w:szCs w:val="30"/>
          <w:cs/>
          <w:lang w:eastAsia="en-US"/>
        </w:rPr>
        <w:t>1</w:t>
      </w:r>
      <w:r w:rsidR="00493D0D" w:rsidRPr="00AC5082">
        <w:rPr>
          <w:rFonts w:ascii="DilleniaUPC" w:hAnsi="DilleniaUPC" w:cs="DilleniaUPC"/>
          <w:sz w:val="30"/>
          <w:szCs w:val="30"/>
          <w:cs/>
          <w:lang w:eastAsia="en-US"/>
        </w:rPr>
        <w:t>/</w:t>
      </w:r>
      <w:r w:rsidR="00AC5082" w:rsidRPr="00AC5082">
        <w:rPr>
          <w:rFonts w:ascii="DilleniaUPC" w:hAnsi="DilleniaUPC" w:cs="DilleniaUPC"/>
          <w:sz w:val="30"/>
          <w:szCs w:val="30"/>
          <w:cs/>
          <w:lang w:eastAsia="en-US"/>
        </w:rPr>
        <w:t>2566</w:t>
      </w:r>
      <w:r w:rsidR="00F87A63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AC5082" w:rsidRPr="00AC5082">
        <w:rPr>
          <w:rFonts w:ascii="DilleniaUPC" w:hAnsi="DilleniaUPC" w:cs="DilleniaUPC" w:hint="cs"/>
          <w:sz w:val="30"/>
          <w:szCs w:val="30"/>
          <w:cs/>
          <w:lang w:eastAsia="en-US"/>
        </w:rPr>
        <w:t>เรื่อง</w:t>
      </w:r>
      <w:r w:rsidR="00AC5082" w:rsidRPr="00AC5082">
        <w:rPr>
          <w:rFonts w:ascii="DilleniaUPC" w:hAnsi="DilleniaUPC" w:cs="DilleniaUPC"/>
          <w:sz w:val="30"/>
          <w:szCs w:val="30"/>
          <w:cs/>
          <w:lang w:eastAsia="en-US"/>
        </w:rPr>
        <w:t xml:space="preserve"> </w:t>
      </w:r>
      <w:r w:rsidR="00AC5082" w:rsidRPr="00AC5082">
        <w:rPr>
          <w:rFonts w:ascii="DilleniaUPC" w:hAnsi="DilleniaUPC" w:cs="DilleniaUPC" w:hint="cs"/>
          <w:sz w:val="30"/>
          <w:szCs w:val="30"/>
          <w:cs/>
          <w:lang w:eastAsia="en-US"/>
        </w:rPr>
        <w:t>การปฏิบัติงานของสมาชิกในการแต่งตั้งผู้แนะนำลูกค้า</w:t>
      </w:r>
      <w:r w:rsidR="00AC5082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ข้อ 4 </w:t>
      </w:r>
    </w:p>
    <w:p w14:paraId="6B4433C3" w14:textId="1CA8FBF0" w:rsidR="00D766CF" w:rsidRPr="00CC3FE1" w:rsidRDefault="00CC3FE1" w:rsidP="00F87A63">
      <w:pPr>
        <w:pStyle w:val="NoSpacing"/>
        <w:ind w:left="2268" w:right="-335" w:hanging="567"/>
        <w:jc w:val="thaiDistribute"/>
        <w:rPr>
          <w:rFonts w:ascii="DilleniaUPC" w:hAnsi="DilleniaUPC" w:cs="DilleniaUPC"/>
          <w:sz w:val="30"/>
          <w:szCs w:val="30"/>
          <w:lang w:eastAsia="en-US"/>
        </w:rPr>
      </w:pPr>
      <w:r>
        <w:rPr>
          <w:rFonts w:ascii="DilleniaUPC" w:hAnsi="DilleniaUPC" w:cs="DilleniaUPC" w:hint="cs"/>
          <w:sz w:val="30"/>
          <w:szCs w:val="30"/>
          <w:cs/>
          <w:lang w:eastAsia="en-US"/>
        </w:rPr>
        <w:t>(2.</w:t>
      </w:r>
      <w:r w:rsidR="0001203B">
        <w:rPr>
          <w:rFonts w:ascii="DilleniaUPC" w:hAnsi="DilleniaUPC" w:cs="DilleniaUPC"/>
          <w:sz w:val="30"/>
          <w:szCs w:val="30"/>
          <w:lang w:eastAsia="en-US"/>
        </w:rPr>
        <w:t>3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)</w:t>
      </w:r>
      <w:r w:rsidR="00F87A63">
        <w:rPr>
          <w:rFonts w:ascii="DilleniaUPC" w:hAnsi="DilleniaUPC" w:cs="DilleniaUPC"/>
          <w:sz w:val="30"/>
          <w:szCs w:val="30"/>
          <w:cs/>
          <w:lang w:eastAsia="en-US"/>
        </w:rPr>
        <w:tab/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กรณีบัญชีลูกค้าที่แนะนำมาไม่มีรายการเคลื่อนไหว (</w:t>
      </w:r>
      <w:r w:rsidR="00AD493C" w:rsidRPr="00CC3FE1">
        <w:rPr>
          <w:rFonts w:ascii="DilleniaUPC" w:hAnsi="DilleniaUPC" w:cs="DilleniaUPC"/>
          <w:sz w:val="30"/>
          <w:szCs w:val="30"/>
          <w:lang w:eastAsia="en-US"/>
        </w:rPr>
        <w:t>Inactive)</w:t>
      </w:r>
      <w:r w:rsidR="00975947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มากกว่า 2 ปี </w:t>
      </w:r>
      <w:r w:rsidR="003062A1" w:rsidRPr="003062A1">
        <w:rPr>
          <w:rFonts w:ascii="DilleniaUPC" w:hAnsi="DilleniaUPC" w:cs="DilleniaUPC" w:hint="cs"/>
          <w:sz w:val="30"/>
          <w:szCs w:val="30"/>
          <w:cs/>
          <w:lang w:eastAsia="en-US"/>
        </w:rPr>
        <w:t>ส</w:t>
      </w:r>
      <w:r w:rsidR="003062A1">
        <w:rPr>
          <w:rFonts w:ascii="DilleniaUPC" w:hAnsi="DilleniaUPC" w:cs="DilleniaUPC" w:hint="cs"/>
          <w:sz w:val="30"/>
          <w:szCs w:val="30"/>
          <w:cs/>
          <w:lang w:eastAsia="en-US"/>
        </w:rPr>
        <w:t>มาชิก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อาจพิจารณายกเลิกหรือไม่จ่ายค่าตอบแทนหลังจากรับเป็นลูกค้า </w:t>
      </w:r>
      <w:r w:rsidR="00AD493C" w:rsidRPr="00CC3FE1">
        <w:rPr>
          <w:rFonts w:ascii="DilleniaUPC" w:hAnsi="DilleniaUPC" w:cs="DilleniaUPC"/>
          <w:sz w:val="30"/>
          <w:szCs w:val="30"/>
          <w:lang w:eastAsia="en-US"/>
        </w:rPr>
        <w:t>(Retaining Fee)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 xml:space="preserve"> สำหรับบัญชีลูกค้ารายนั้น</w:t>
      </w:r>
      <w:r w:rsidR="00F87A63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ๆ</w:t>
      </w:r>
      <w:r w:rsidR="00F87A63">
        <w:rPr>
          <w:rFonts w:ascii="DilleniaUPC" w:hAnsi="DilleniaUPC" w:cs="DilleniaUPC" w:hint="cs"/>
          <w:sz w:val="30"/>
          <w:szCs w:val="30"/>
          <w:cs/>
          <w:lang w:eastAsia="en-US"/>
        </w:rPr>
        <w:t xml:space="preserve"> </w:t>
      </w:r>
      <w:r w:rsidR="00AD493C" w:rsidRPr="00CC3FE1">
        <w:rPr>
          <w:rFonts w:ascii="DilleniaUPC" w:hAnsi="DilleniaUPC" w:cs="DilleniaUPC"/>
          <w:sz w:val="30"/>
          <w:szCs w:val="30"/>
          <w:cs/>
          <w:lang w:eastAsia="en-US"/>
        </w:rPr>
        <w:t>ให้แก่ผู้แนะนำลูกค้าได้</w:t>
      </w:r>
    </w:p>
    <w:p w14:paraId="76ED8EF8" w14:textId="77777777" w:rsidR="00F87A63" w:rsidRPr="00F87A63" w:rsidRDefault="00F87A63" w:rsidP="00F87A63">
      <w:pPr>
        <w:tabs>
          <w:tab w:val="left" w:pos="720"/>
        </w:tabs>
        <w:ind w:right="-335"/>
        <w:jc w:val="thaiDistribute"/>
        <w:rPr>
          <w:rFonts w:ascii="DilleniaUPC" w:eastAsia="Times New Roman" w:hAnsi="DilleniaUPC" w:cs="DilleniaUPC"/>
          <w:sz w:val="16"/>
          <w:szCs w:val="16"/>
          <w:lang w:eastAsia="en-US"/>
        </w:rPr>
      </w:pPr>
    </w:p>
    <w:p w14:paraId="3282BA6C" w14:textId="346E0F0A" w:rsidR="00D766CF" w:rsidRPr="00D766CF" w:rsidRDefault="00CC3FE1" w:rsidP="00F87A63">
      <w:pPr>
        <w:tabs>
          <w:tab w:val="left" w:pos="1276"/>
        </w:tabs>
        <w:ind w:right="-335" w:firstLine="720"/>
        <w:jc w:val="thaiDistribute"/>
        <w:rPr>
          <w:rFonts w:ascii="DilleniaUPC" w:eastAsia="Times New Roman" w:hAnsi="DilleniaUPC" w:cs="DilleniaUPC"/>
          <w:sz w:val="30"/>
          <w:szCs w:val="30"/>
          <w:lang w:eastAsia="en-US"/>
        </w:rPr>
      </w:pPr>
      <w:r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ข้อ </w:t>
      </w:r>
      <w:r w:rsidR="00F11780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4 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ค่าตอบแทนหลังจากรับเป็นลูกค้า </w:t>
      </w:r>
      <w:r w:rsidR="00D766CF" w:rsidRPr="00D766CF">
        <w:rPr>
          <w:rFonts w:ascii="DilleniaUPC" w:eastAsia="Times New Roman" w:hAnsi="DilleniaUPC" w:cs="DilleniaUPC"/>
          <w:sz w:val="30"/>
          <w:szCs w:val="30"/>
          <w:lang w:eastAsia="en-US"/>
        </w:rPr>
        <w:t>(Retaining Fee)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ที่จ่ายให้</w:t>
      </w:r>
      <w:r w:rsidR="00DD263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ตามข้อ </w:t>
      </w:r>
      <w:r w:rsidR="005728B3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2 </w:t>
      </w:r>
      <w:r w:rsidR="00DD263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(2) และข้อ </w:t>
      </w:r>
      <w:r w:rsidR="005728B3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3 </w:t>
      </w:r>
      <w:r w:rsidR="00DD2632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(2)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เมื่อรวมกับค่าตอบแทนที่ผู้แนะนำการลงทุน (</w:t>
      </w:r>
      <w:r w:rsidR="00D766CF" w:rsidRPr="00D766CF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IC) 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ได้รับ</w:t>
      </w:r>
      <w:r w:rsidR="00D766CF" w:rsidRPr="00D766CF">
        <w:rPr>
          <w:rFonts w:ascii="DilleniaUPC" w:eastAsia="Times New Roman" w:hAnsi="DilleniaUPC" w:cs="DilleniaUPC"/>
          <w:sz w:val="30"/>
          <w:szCs w:val="30"/>
          <w:lang w:eastAsia="en-US"/>
        </w:rPr>
        <w:t xml:space="preserve"> </w:t>
      </w:r>
      <w:r w:rsidR="00D766CF" w:rsidRPr="00D766CF">
        <w:rPr>
          <w:rFonts w:ascii="DilleniaUPC" w:eastAsia="Times New Roman" w:hAnsi="DilleniaUPC" w:cs="DilleniaUPC"/>
          <w:sz w:val="30"/>
          <w:szCs w:val="30"/>
          <w:cs/>
          <w:lang w:eastAsia="en-US"/>
        </w:rPr>
        <w:t>จะต้องไม่เกินอัตราค่าตอบแทนสูงสุด</w:t>
      </w:r>
      <w:r w:rsidR="00CD36A9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ที่กำหนดไว้</w:t>
      </w:r>
      <w:r w:rsidR="0036186E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ตามประกาศสมาคม เรื่องการจ่ายค่าตอบแทนให้แก่ผู้แนะนำการลงทุน ผู้จัดการสาขา</w:t>
      </w:r>
      <w:r w:rsidR="00766160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</w:t>
      </w:r>
      <w:r w:rsidR="0036186E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และหัวหน้าทีมการตลาด</w:t>
      </w:r>
    </w:p>
    <w:p w14:paraId="47B48269" w14:textId="77777777" w:rsidR="00F87A63" w:rsidRPr="00F87A63" w:rsidRDefault="00F87A63" w:rsidP="00F87A63">
      <w:pPr>
        <w:ind w:right="-85"/>
        <w:rPr>
          <w:rFonts w:ascii="DilleniaUPC" w:hAnsi="DilleniaUPC" w:cs="DilleniaUPC"/>
          <w:sz w:val="16"/>
          <w:szCs w:val="16"/>
        </w:rPr>
      </w:pPr>
    </w:p>
    <w:p w14:paraId="19D1AAA9" w14:textId="77777777" w:rsidR="00F87A63" w:rsidRDefault="00F87A63" w:rsidP="00F87A63">
      <w:pPr>
        <w:ind w:right="-85"/>
        <w:rPr>
          <w:rFonts w:ascii="DilleniaUPC" w:hAnsi="DilleniaUPC" w:cs="DilleniaUPC"/>
          <w:sz w:val="30"/>
          <w:szCs w:val="30"/>
        </w:rPr>
      </w:pPr>
    </w:p>
    <w:p w14:paraId="5C36A15E" w14:textId="70C0ADEB" w:rsidR="00D677F0" w:rsidRPr="00F73177" w:rsidRDefault="007126D9" w:rsidP="00F87A63">
      <w:pPr>
        <w:ind w:right="-85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วิธีปฏิบัติ</w:t>
      </w:r>
      <w:r w:rsidR="00CC3FE1">
        <w:rPr>
          <w:rFonts w:ascii="DilleniaUPC" w:hAnsi="DilleniaUPC" w:cs="DilleniaUPC"/>
          <w:sz w:val="30"/>
          <w:szCs w:val="30"/>
          <w:cs/>
        </w:rPr>
        <w:t xml:space="preserve">นี้มีผลบังคับตั้งแต่วันที่ </w:t>
      </w:r>
      <w:r w:rsidR="00682A27">
        <w:rPr>
          <w:rFonts w:ascii="DilleniaUPC" w:hAnsi="DilleniaUPC" w:cs="DilleniaUPC" w:hint="cs"/>
          <w:sz w:val="30"/>
          <w:szCs w:val="30"/>
          <w:cs/>
        </w:rPr>
        <w:t xml:space="preserve">1 พฤษภาคม 2566 </w:t>
      </w:r>
      <w:r w:rsidR="00D677F0" w:rsidRPr="00F73177">
        <w:rPr>
          <w:rFonts w:ascii="DilleniaUPC" w:hAnsi="DilleniaUPC" w:cs="DilleniaUPC"/>
          <w:sz w:val="30"/>
          <w:szCs w:val="30"/>
          <w:cs/>
        </w:rPr>
        <w:t>เป็นต้นไป</w:t>
      </w:r>
    </w:p>
    <w:p w14:paraId="0A571F6B" w14:textId="77777777" w:rsidR="00F87A63" w:rsidRPr="00F87A63" w:rsidRDefault="00F87A63" w:rsidP="00F87A63">
      <w:pPr>
        <w:tabs>
          <w:tab w:val="left" w:pos="1080"/>
        </w:tabs>
        <w:jc w:val="thaiDistribute"/>
        <w:rPr>
          <w:rFonts w:ascii="DilleniaUPC" w:hAnsi="DilleniaUPC" w:cs="DilleniaUPC"/>
          <w:sz w:val="32"/>
          <w:szCs w:val="32"/>
        </w:rPr>
      </w:pPr>
    </w:p>
    <w:p w14:paraId="4E79149B" w14:textId="7D43CBDE" w:rsidR="00D677F0" w:rsidRPr="00F73177" w:rsidRDefault="00D677F0" w:rsidP="00F87A63">
      <w:pPr>
        <w:pStyle w:val="BodyText"/>
        <w:tabs>
          <w:tab w:val="left" w:pos="567"/>
          <w:tab w:val="center" w:pos="5812"/>
        </w:tabs>
        <w:spacing w:after="0"/>
        <w:ind w:right="-653"/>
        <w:rPr>
          <w:rFonts w:ascii="DilleniaUPC" w:hAnsi="DilleniaUPC" w:cs="DilleniaUPC"/>
          <w:sz w:val="30"/>
          <w:szCs w:val="30"/>
        </w:rPr>
      </w:pPr>
      <w:r w:rsidRPr="00F73177">
        <w:rPr>
          <w:rFonts w:ascii="DilleniaUPC" w:hAnsi="DilleniaUPC" w:cs="DilleniaUPC"/>
          <w:sz w:val="30"/>
          <w:szCs w:val="30"/>
          <w:cs/>
        </w:rPr>
        <w:tab/>
      </w:r>
      <w:r w:rsidRPr="00F73177">
        <w:rPr>
          <w:rFonts w:ascii="DilleniaUPC" w:hAnsi="DilleniaUPC" w:cs="DilleniaUPC"/>
          <w:sz w:val="30"/>
          <w:szCs w:val="30"/>
          <w:cs/>
        </w:rPr>
        <w:tab/>
        <w:t>ประกาศ ณ วันที่</w:t>
      </w:r>
      <w:r w:rsidR="00682A2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728B3">
        <w:rPr>
          <w:rFonts w:ascii="DilleniaUPC" w:hAnsi="DilleniaUPC" w:cs="DilleniaUPC" w:hint="cs"/>
          <w:sz w:val="30"/>
          <w:szCs w:val="30"/>
          <w:cs/>
        </w:rPr>
        <w:t xml:space="preserve">20 </w:t>
      </w:r>
      <w:r w:rsidR="00682A27">
        <w:rPr>
          <w:rFonts w:ascii="DilleniaUPC" w:hAnsi="DilleniaUPC" w:cs="DilleniaUPC" w:hint="cs"/>
          <w:sz w:val="30"/>
          <w:szCs w:val="30"/>
          <w:cs/>
        </w:rPr>
        <w:t>เมษายน 2566</w:t>
      </w:r>
    </w:p>
    <w:p w14:paraId="16186C02" w14:textId="77777777" w:rsidR="00D677F0" w:rsidRPr="00121745" w:rsidRDefault="00D677F0" w:rsidP="00F87A63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sz w:val="40"/>
          <w:szCs w:val="40"/>
        </w:rPr>
      </w:pPr>
      <w:r w:rsidRPr="00F73177">
        <w:rPr>
          <w:rFonts w:ascii="DilleniaUPC" w:hAnsi="DilleniaUPC" w:cs="DilleniaUPC"/>
          <w:sz w:val="30"/>
          <w:szCs w:val="30"/>
          <w:cs/>
        </w:rPr>
        <w:tab/>
      </w:r>
      <w:r w:rsidRPr="00F73177">
        <w:rPr>
          <w:rFonts w:ascii="DilleniaUPC" w:hAnsi="DilleniaUPC" w:cs="DilleniaUPC"/>
          <w:sz w:val="30"/>
          <w:szCs w:val="30"/>
          <w:cs/>
        </w:rPr>
        <w:tab/>
      </w:r>
    </w:p>
    <w:p w14:paraId="41F43935" w14:textId="77777777" w:rsidR="00D677F0" w:rsidRPr="00766160" w:rsidRDefault="00D677F0" w:rsidP="00F87A63">
      <w:pPr>
        <w:pStyle w:val="BodyText"/>
        <w:tabs>
          <w:tab w:val="left" w:pos="567"/>
          <w:tab w:val="center" w:pos="5400"/>
        </w:tabs>
        <w:spacing w:after="0"/>
        <w:rPr>
          <w:rFonts w:ascii="DilleniaUPC" w:eastAsia="MS Mincho" w:hAnsi="DilleniaUPC" w:cs="DilleniaUPC"/>
          <w:sz w:val="40"/>
          <w:szCs w:val="40"/>
          <w:lang w:eastAsia="ja-JP"/>
        </w:rPr>
      </w:pPr>
    </w:p>
    <w:p w14:paraId="72B46454" w14:textId="77777777" w:rsidR="00F87A63" w:rsidRDefault="00D677F0" w:rsidP="00F87A63">
      <w:pPr>
        <w:tabs>
          <w:tab w:val="center" w:pos="5812"/>
        </w:tabs>
        <w:jc w:val="both"/>
        <w:rPr>
          <w:rFonts w:ascii="DilleniaUPC" w:hAnsi="DilleniaUPC" w:cs="DilleniaUPC"/>
          <w:sz w:val="30"/>
          <w:szCs w:val="30"/>
        </w:rPr>
      </w:pPr>
      <w:r w:rsidRPr="00F73177">
        <w:rPr>
          <w:rFonts w:ascii="DilleniaUPC" w:hAnsi="DilleniaUPC" w:cs="DilleniaUPC"/>
          <w:sz w:val="30"/>
          <w:szCs w:val="30"/>
          <w:cs/>
        </w:rPr>
        <w:tab/>
        <w:t>(นา</w:t>
      </w:r>
      <w:r w:rsidR="00EE4557">
        <w:rPr>
          <w:rFonts w:ascii="DilleniaUPC" w:hAnsi="DilleniaUPC" w:cs="DilleniaUPC" w:hint="cs"/>
          <w:sz w:val="30"/>
          <w:szCs w:val="30"/>
          <w:cs/>
        </w:rPr>
        <w:t>ยพิเชษฐ สิทธิอำนวย</w:t>
      </w:r>
      <w:r w:rsidRPr="00F73177">
        <w:rPr>
          <w:rFonts w:ascii="DilleniaUPC" w:hAnsi="DilleniaUPC" w:cs="DilleniaUPC"/>
          <w:sz w:val="30"/>
          <w:szCs w:val="30"/>
          <w:cs/>
        </w:rPr>
        <w:t>)</w:t>
      </w:r>
    </w:p>
    <w:p w14:paraId="22D5AA14" w14:textId="0D79DB10" w:rsidR="0011539E" w:rsidRDefault="00F87A63" w:rsidP="00F87A63">
      <w:pPr>
        <w:tabs>
          <w:tab w:val="center" w:pos="5812"/>
        </w:tabs>
        <w:jc w:val="both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tab/>
      </w:r>
      <w:r w:rsidR="00D677F0" w:rsidRPr="00F73177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p w14:paraId="472791E2" w14:textId="6D94838D" w:rsidR="000C0120" w:rsidRPr="000C0120" w:rsidRDefault="000C0120" w:rsidP="000C0120">
      <w:pPr>
        <w:tabs>
          <w:tab w:val="left" w:pos="6700"/>
          <w:tab w:val="left" w:pos="7516"/>
        </w:tabs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  <w:cs/>
        </w:rPr>
        <w:tab/>
      </w:r>
      <w:r>
        <w:rPr>
          <w:rFonts w:ascii="DilleniaUPC" w:hAnsi="DilleniaUPC" w:cs="DilleniaUPC"/>
          <w:sz w:val="30"/>
          <w:szCs w:val="30"/>
          <w:cs/>
        </w:rPr>
        <w:tab/>
      </w:r>
    </w:p>
    <w:sectPr w:rsidR="000C0120" w:rsidRPr="000C0120" w:rsidSect="000C0120">
      <w:footerReference w:type="default" r:id="rId8"/>
      <w:pgSz w:w="11906" w:h="16838"/>
      <w:pgMar w:top="1134" w:right="1797" w:bottom="709" w:left="1797" w:header="720" w:footer="70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1CC1" w14:textId="77777777" w:rsidR="00C703A4" w:rsidRDefault="00C703A4" w:rsidP="00A87D06">
      <w:r>
        <w:separator/>
      </w:r>
    </w:p>
  </w:endnote>
  <w:endnote w:type="continuationSeparator" w:id="0">
    <w:p w14:paraId="6841F196" w14:textId="77777777" w:rsidR="00C703A4" w:rsidRDefault="00C703A4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D819" w14:textId="663B1578" w:rsidR="0047748A" w:rsidRPr="000C0120" w:rsidRDefault="00E67182" w:rsidP="0001203B">
    <w:pPr>
      <w:pStyle w:val="Footer"/>
      <w:ind w:right="-483"/>
      <w:jc w:val="right"/>
      <w:rPr>
        <w:rFonts w:ascii="DilleniaUPC" w:hAnsi="DilleniaUPC" w:cs="DilleniaUPC"/>
      </w:rPr>
    </w:pPr>
    <w:r w:rsidRPr="000C0120">
      <w:rPr>
        <w:rFonts w:ascii="DilleniaUPC" w:hAnsi="DilleniaUPC" w:cs="DilleniaUPC"/>
        <w:sz w:val="20"/>
        <w:szCs w:val="20"/>
        <w:cs/>
      </w:rPr>
      <w:t>ห</w:t>
    </w:r>
    <w:r w:rsidR="00A43FEC" w:rsidRPr="000C0120">
      <w:rPr>
        <w:rFonts w:ascii="DilleniaUPC" w:hAnsi="DilleniaUPC" w:cs="DilleniaUPC"/>
        <w:sz w:val="20"/>
        <w:szCs w:val="20"/>
        <w:cs/>
      </w:rPr>
      <w:t>ลักเกณฑ์</w:t>
    </w:r>
    <w:r w:rsidRPr="000C0120">
      <w:rPr>
        <w:rFonts w:ascii="DilleniaUPC" w:hAnsi="DilleniaUPC" w:cs="DilleniaUPC"/>
        <w:sz w:val="20"/>
        <w:szCs w:val="20"/>
        <w:cs/>
      </w:rPr>
      <w:t xml:space="preserve"> และเงื่อนไข</w:t>
    </w:r>
    <w:r w:rsidR="00E87C51" w:rsidRPr="000C0120">
      <w:rPr>
        <w:rFonts w:ascii="DilleniaUPC" w:hAnsi="DilleniaUPC" w:cs="DilleniaUPC"/>
        <w:sz w:val="20"/>
        <w:szCs w:val="20"/>
        <w:cs/>
      </w:rPr>
      <w:t>การ</w:t>
    </w:r>
    <w:r w:rsidRPr="000C0120">
      <w:rPr>
        <w:rFonts w:ascii="DilleniaUPC" w:hAnsi="DilleniaUPC" w:cs="DilleniaUPC"/>
        <w:sz w:val="20"/>
        <w:szCs w:val="20"/>
        <w:cs/>
      </w:rPr>
      <w:t>จ่ายผลตอบแทน</w:t>
    </w:r>
    <w:r w:rsidR="00884D8B" w:rsidRPr="000C0120">
      <w:rPr>
        <w:rFonts w:ascii="DilleniaUPC" w:hAnsi="DilleniaUPC" w:cs="DilleniaUPC"/>
        <w:sz w:val="20"/>
        <w:szCs w:val="20"/>
        <w:cs/>
      </w:rPr>
      <w:t>ผู้</w:t>
    </w:r>
    <w:r w:rsidRPr="000C0120">
      <w:rPr>
        <w:rFonts w:ascii="DilleniaUPC" w:hAnsi="DilleniaUPC" w:cs="DilleniaUPC"/>
        <w:sz w:val="20"/>
        <w:szCs w:val="20"/>
        <w:cs/>
      </w:rPr>
      <w:t>แนะนำลูกค้า</w:t>
    </w:r>
    <w:r w:rsidR="0047748A" w:rsidRPr="000C0120">
      <w:rPr>
        <w:rFonts w:ascii="DilleniaUPC" w:hAnsi="DilleniaUPC" w:cs="DilleniaUPC"/>
        <w:sz w:val="20"/>
        <w:szCs w:val="20"/>
      </w:rPr>
      <w:t xml:space="preserve"> </w:t>
    </w:r>
    <w:r w:rsidR="0047748A" w:rsidRPr="000C0120">
      <w:rPr>
        <w:rFonts w:ascii="DilleniaUPC" w:hAnsi="DilleniaUPC" w:cs="DilleniaUPC"/>
        <w:sz w:val="20"/>
        <w:szCs w:val="20"/>
      </w:rPr>
      <w:fldChar w:fldCharType="begin"/>
    </w:r>
    <w:r w:rsidR="0047748A" w:rsidRPr="000C0120">
      <w:rPr>
        <w:rFonts w:ascii="DilleniaUPC" w:hAnsi="DilleniaUPC" w:cs="DilleniaUPC"/>
        <w:sz w:val="20"/>
        <w:szCs w:val="20"/>
      </w:rPr>
      <w:instrText xml:space="preserve"> PAGE </w:instrText>
    </w:r>
    <w:r w:rsidR="0047748A" w:rsidRPr="000C0120">
      <w:rPr>
        <w:rFonts w:ascii="DilleniaUPC" w:hAnsi="DilleniaUPC" w:cs="DilleniaUPC"/>
        <w:sz w:val="20"/>
        <w:szCs w:val="20"/>
      </w:rPr>
      <w:fldChar w:fldCharType="separate"/>
    </w:r>
    <w:r w:rsidR="00F75C4C" w:rsidRPr="000C0120">
      <w:rPr>
        <w:rFonts w:ascii="DilleniaUPC" w:hAnsi="DilleniaUPC" w:cs="DilleniaUPC"/>
        <w:noProof/>
        <w:sz w:val="20"/>
        <w:szCs w:val="20"/>
      </w:rPr>
      <w:t>1</w:t>
    </w:r>
    <w:r w:rsidR="0047748A" w:rsidRPr="000C0120">
      <w:rPr>
        <w:rFonts w:ascii="DilleniaUPC" w:hAnsi="DilleniaUPC" w:cs="DilleniaUPC"/>
        <w:sz w:val="20"/>
        <w:szCs w:val="20"/>
      </w:rPr>
      <w:fldChar w:fldCharType="end"/>
    </w:r>
    <w:r w:rsidR="0047748A" w:rsidRPr="000C0120">
      <w:rPr>
        <w:rFonts w:ascii="DilleniaUPC" w:hAnsi="DilleniaUPC" w:cs="DilleniaUPC"/>
        <w:sz w:val="20"/>
        <w:szCs w:val="20"/>
      </w:rPr>
      <w:t xml:space="preserve"> / </w:t>
    </w:r>
    <w:r w:rsidR="0047748A" w:rsidRPr="000C0120">
      <w:rPr>
        <w:rFonts w:ascii="DilleniaUPC" w:hAnsi="DilleniaUPC" w:cs="DilleniaUPC"/>
        <w:sz w:val="20"/>
        <w:szCs w:val="20"/>
      </w:rPr>
      <w:fldChar w:fldCharType="begin"/>
    </w:r>
    <w:r w:rsidR="0047748A" w:rsidRPr="000C0120">
      <w:rPr>
        <w:rFonts w:ascii="DilleniaUPC" w:hAnsi="DilleniaUPC" w:cs="DilleniaUPC"/>
        <w:sz w:val="20"/>
        <w:szCs w:val="20"/>
      </w:rPr>
      <w:instrText xml:space="preserve"> NUMPAGES  </w:instrText>
    </w:r>
    <w:r w:rsidR="0047748A" w:rsidRPr="000C0120">
      <w:rPr>
        <w:rFonts w:ascii="DilleniaUPC" w:hAnsi="DilleniaUPC" w:cs="DilleniaUPC"/>
        <w:sz w:val="20"/>
        <w:szCs w:val="20"/>
      </w:rPr>
      <w:fldChar w:fldCharType="separate"/>
    </w:r>
    <w:r w:rsidR="00F75C4C" w:rsidRPr="000C0120">
      <w:rPr>
        <w:rFonts w:ascii="DilleniaUPC" w:hAnsi="DilleniaUPC" w:cs="DilleniaUPC"/>
        <w:noProof/>
        <w:sz w:val="20"/>
        <w:szCs w:val="20"/>
      </w:rPr>
      <w:t>2</w:t>
    </w:r>
    <w:r w:rsidR="0047748A" w:rsidRPr="000C0120">
      <w:rPr>
        <w:rFonts w:ascii="DilleniaUPC" w:hAnsi="DilleniaUPC" w:cs="DilleniaUP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90A5" w14:textId="77777777" w:rsidR="00C703A4" w:rsidRDefault="00C703A4" w:rsidP="00A87D06">
      <w:r>
        <w:separator/>
      </w:r>
    </w:p>
  </w:footnote>
  <w:footnote w:type="continuationSeparator" w:id="0">
    <w:p w14:paraId="3BBBB9A0" w14:textId="77777777" w:rsidR="00C703A4" w:rsidRDefault="00C703A4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75F11"/>
    <w:multiLevelType w:val="hybridMultilevel"/>
    <w:tmpl w:val="5F5CC942"/>
    <w:lvl w:ilvl="0" w:tplc="73A041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3190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926A55"/>
    <w:multiLevelType w:val="hybridMultilevel"/>
    <w:tmpl w:val="41E2ECF6"/>
    <w:lvl w:ilvl="0" w:tplc="225A3C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463002"/>
    <w:multiLevelType w:val="hybridMultilevel"/>
    <w:tmpl w:val="84AC504E"/>
    <w:lvl w:ilvl="0" w:tplc="DB106D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92811122">
    <w:abstractNumId w:val="8"/>
  </w:num>
  <w:num w:numId="2" w16cid:durableId="134877415">
    <w:abstractNumId w:val="0"/>
  </w:num>
  <w:num w:numId="3" w16cid:durableId="1015116522">
    <w:abstractNumId w:val="6"/>
  </w:num>
  <w:num w:numId="4" w16cid:durableId="1835343003">
    <w:abstractNumId w:val="4"/>
  </w:num>
  <w:num w:numId="5" w16cid:durableId="1670670682">
    <w:abstractNumId w:val="3"/>
  </w:num>
  <w:num w:numId="6" w16cid:durableId="224529048">
    <w:abstractNumId w:val="2"/>
  </w:num>
  <w:num w:numId="7" w16cid:durableId="59639988">
    <w:abstractNumId w:val="1"/>
  </w:num>
  <w:num w:numId="8" w16cid:durableId="1553495692">
    <w:abstractNumId w:val="5"/>
  </w:num>
  <w:num w:numId="9" w16cid:durableId="928463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E3"/>
    <w:rsid w:val="00000EA1"/>
    <w:rsid w:val="000025E8"/>
    <w:rsid w:val="000040E3"/>
    <w:rsid w:val="0001203B"/>
    <w:rsid w:val="00015952"/>
    <w:rsid w:val="0003594C"/>
    <w:rsid w:val="000360C2"/>
    <w:rsid w:val="000363B8"/>
    <w:rsid w:val="00060532"/>
    <w:rsid w:val="000C0120"/>
    <w:rsid w:val="000D7027"/>
    <w:rsid w:val="000F78FE"/>
    <w:rsid w:val="00101C43"/>
    <w:rsid w:val="0011539E"/>
    <w:rsid w:val="00121745"/>
    <w:rsid w:val="00125CBF"/>
    <w:rsid w:val="001669FB"/>
    <w:rsid w:val="0017238C"/>
    <w:rsid w:val="00177202"/>
    <w:rsid w:val="001B7E14"/>
    <w:rsid w:val="001C19A0"/>
    <w:rsid w:val="001D0BFB"/>
    <w:rsid w:val="001D1D5F"/>
    <w:rsid w:val="001E0341"/>
    <w:rsid w:val="00200BE1"/>
    <w:rsid w:val="00236194"/>
    <w:rsid w:val="00257A6F"/>
    <w:rsid w:val="002659D4"/>
    <w:rsid w:val="00294EEF"/>
    <w:rsid w:val="00296AAE"/>
    <w:rsid w:val="002C53C3"/>
    <w:rsid w:val="002D3CE3"/>
    <w:rsid w:val="002F1ADB"/>
    <w:rsid w:val="002F1FB1"/>
    <w:rsid w:val="00303E7D"/>
    <w:rsid w:val="003062A1"/>
    <w:rsid w:val="00317693"/>
    <w:rsid w:val="003303AE"/>
    <w:rsid w:val="003337CB"/>
    <w:rsid w:val="00356B61"/>
    <w:rsid w:val="0036186E"/>
    <w:rsid w:val="00366D91"/>
    <w:rsid w:val="00386C64"/>
    <w:rsid w:val="003935FA"/>
    <w:rsid w:val="003C5BEC"/>
    <w:rsid w:val="003E0F38"/>
    <w:rsid w:val="003F2EF7"/>
    <w:rsid w:val="00420AAC"/>
    <w:rsid w:val="00426157"/>
    <w:rsid w:val="004306CB"/>
    <w:rsid w:val="0044640B"/>
    <w:rsid w:val="0044658A"/>
    <w:rsid w:val="0046755F"/>
    <w:rsid w:val="0047748A"/>
    <w:rsid w:val="00480766"/>
    <w:rsid w:val="004846CB"/>
    <w:rsid w:val="00493D0D"/>
    <w:rsid w:val="00493EB2"/>
    <w:rsid w:val="004A02D5"/>
    <w:rsid w:val="004B4D53"/>
    <w:rsid w:val="004D4BAF"/>
    <w:rsid w:val="004F6C07"/>
    <w:rsid w:val="005027AB"/>
    <w:rsid w:val="005175CD"/>
    <w:rsid w:val="00546830"/>
    <w:rsid w:val="00550282"/>
    <w:rsid w:val="005728B3"/>
    <w:rsid w:val="00574649"/>
    <w:rsid w:val="00581080"/>
    <w:rsid w:val="00586809"/>
    <w:rsid w:val="005953A7"/>
    <w:rsid w:val="005953A8"/>
    <w:rsid w:val="00607C48"/>
    <w:rsid w:val="006133AF"/>
    <w:rsid w:val="0062208B"/>
    <w:rsid w:val="00626226"/>
    <w:rsid w:val="00630E5B"/>
    <w:rsid w:val="006327FC"/>
    <w:rsid w:val="00636D5B"/>
    <w:rsid w:val="00643429"/>
    <w:rsid w:val="00647061"/>
    <w:rsid w:val="006661F1"/>
    <w:rsid w:val="00682A27"/>
    <w:rsid w:val="0068507E"/>
    <w:rsid w:val="006913EB"/>
    <w:rsid w:val="006A42E3"/>
    <w:rsid w:val="006A504E"/>
    <w:rsid w:val="006A69E2"/>
    <w:rsid w:val="006B203F"/>
    <w:rsid w:val="006C762D"/>
    <w:rsid w:val="006D7555"/>
    <w:rsid w:val="006F7B9B"/>
    <w:rsid w:val="0071174C"/>
    <w:rsid w:val="007126D9"/>
    <w:rsid w:val="00712F66"/>
    <w:rsid w:val="00714269"/>
    <w:rsid w:val="007556C5"/>
    <w:rsid w:val="00762395"/>
    <w:rsid w:val="00765461"/>
    <w:rsid w:val="00766160"/>
    <w:rsid w:val="00773979"/>
    <w:rsid w:val="00780B66"/>
    <w:rsid w:val="00782D57"/>
    <w:rsid w:val="00793850"/>
    <w:rsid w:val="007A4100"/>
    <w:rsid w:val="007A5B52"/>
    <w:rsid w:val="007A6FF1"/>
    <w:rsid w:val="008067C7"/>
    <w:rsid w:val="0080750D"/>
    <w:rsid w:val="008158C7"/>
    <w:rsid w:val="008353E3"/>
    <w:rsid w:val="0083624C"/>
    <w:rsid w:val="0083654A"/>
    <w:rsid w:val="00837146"/>
    <w:rsid w:val="008466AD"/>
    <w:rsid w:val="0087205E"/>
    <w:rsid w:val="00884D8B"/>
    <w:rsid w:val="008908A1"/>
    <w:rsid w:val="008972B1"/>
    <w:rsid w:val="008B2081"/>
    <w:rsid w:val="008C3C88"/>
    <w:rsid w:val="008D56A1"/>
    <w:rsid w:val="008F703D"/>
    <w:rsid w:val="00930409"/>
    <w:rsid w:val="00935813"/>
    <w:rsid w:val="00956915"/>
    <w:rsid w:val="00957E5E"/>
    <w:rsid w:val="00963D11"/>
    <w:rsid w:val="00971E21"/>
    <w:rsid w:val="00975947"/>
    <w:rsid w:val="009B2ABE"/>
    <w:rsid w:val="009E1D93"/>
    <w:rsid w:val="009F6832"/>
    <w:rsid w:val="009F696D"/>
    <w:rsid w:val="00A10FF9"/>
    <w:rsid w:val="00A12389"/>
    <w:rsid w:val="00A35B5E"/>
    <w:rsid w:val="00A43FEC"/>
    <w:rsid w:val="00A83267"/>
    <w:rsid w:val="00A85CA3"/>
    <w:rsid w:val="00A87D06"/>
    <w:rsid w:val="00AB083F"/>
    <w:rsid w:val="00AB7845"/>
    <w:rsid w:val="00AC5082"/>
    <w:rsid w:val="00AD493C"/>
    <w:rsid w:val="00AD611E"/>
    <w:rsid w:val="00AD774A"/>
    <w:rsid w:val="00AE3FA6"/>
    <w:rsid w:val="00AE7138"/>
    <w:rsid w:val="00AF1EBB"/>
    <w:rsid w:val="00B02C2F"/>
    <w:rsid w:val="00B271FC"/>
    <w:rsid w:val="00B277B2"/>
    <w:rsid w:val="00B603F4"/>
    <w:rsid w:val="00B679F6"/>
    <w:rsid w:val="00B70B96"/>
    <w:rsid w:val="00B75A2D"/>
    <w:rsid w:val="00B956D4"/>
    <w:rsid w:val="00BB110F"/>
    <w:rsid w:val="00BB6ECB"/>
    <w:rsid w:val="00BD42F3"/>
    <w:rsid w:val="00C02447"/>
    <w:rsid w:val="00C25218"/>
    <w:rsid w:val="00C506EA"/>
    <w:rsid w:val="00C55CC1"/>
    <w:rsid w:val="00C647CA"/>
    <w:rsid w:val="00C703A4"/>
    <w:rsid w:val="00C90BC4"/>
    <w:rsid w:val="00CA2355"/>
    <w:rsid w:val="00CB3D0A"/>
    <w:rsid w:val="00CB5E6A"/>
    <w:rsid w:val="00CC3FE1"/>
    <w:rsid w:val="00CD36A9"/>
    <w:rsid w:val="00CF2F5C"/>
    <w:rsid w:val="00D047BA"/>
    <w:rsid w:val="00D16D5E"/>
    <w:rsid w:val="00D16DA1"/>
    <w:rsid w:val="00D34581"/>
    <w:rsid w:val="00D677F0"/>
    <w:rsid w:val="00D763F9"/>
    <w:rsid w:val="00D766CF"/>
    <w:rsid w:val="00DB1BBB"/>
    <w:rsid w:val="00DC6B69"/>
    <w:rsid w:val="00DD06CF"/>
    <w:rsid w:val="00DD2632"/>
    <w:rsid w:val="00DF1922"/>
    <w:rsid w:val="00DF5AE6"/>
    <w:rsid w:val="00E20ED9"/>
    <w:rsid w:val="00E21D1A"/>
    <w:rsid w:val="00E2440E"/>
    <w:rsid w:val="00E3774C"/>
    <w:rsid w:val="00E45724"/>
    <w:rsid w:val="00E479F0"/>
    <w:rsid w:val="00E65B2E"/>
    <w:rsid w:val="00E67182"/>
    <w:rsid w:val="00E87C51"/>
    <w:rsid w:val="00E97368"/>
    <w:rsid w:val="00EC18C4"/>
    <w:rsid w:val="00EE4557"/>
    <w:rsid w:val="00EF7CDE"/>
    <w:rsid w:val="00F11780"/>
    <w:rsid w:val="00F20EAE"/>
    <w:rsid w:val="00F24A45"/>
    <w:rsid w:val="00F50732"/>
    <w:rsid w:val="00F72021"/>
    <w:rsid w:val="00F73177"/>
    <w:rsid w:val="00F75C4C"/>
    <w:rsid w:val="00F830B3"/>
    <w:rsid w:val="00F87A63"/>
    <w:rsid w:val="00F924E1"/>
    <w:rsid w:val="00FA3D4B"/>
    <w:rsid w:val="00FE393B"/>
    <w:rsid w:val="00FF55BE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69D97"/>
  <w15:docId w15:val="{D0B1706C-1292-4474-8B18-C2CE5E6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NoSpacing">
    <w:name w:val="No Spacing"/>
    <w:uiPriority w:val="1"/>
    <w:qFormat/>
    <w:rsid w:val="00CC3FE1"/>
    <w:rPr>
      <w:sz w:val="24"/>
      <w:szCs w:val="28"/>
      <w:lang w:eastAsia="ko-KR"/>
    </w:rPr>
  </w:style>
  <w:style w:type="paragraph" w:styleId="Revision">
    <w:name w:val="Revision"/>
    <w:hidden/>
    <w:uiPriority w:val="99"/>
    <w:semiHidden/>
    <w:rsid w:val="00015952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9FD6-7E91-4A24-84A9-C23EEEDE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ASCO-Bawornpan</cp:lastModifiedBy>
  <cp:revision>2</cp:revision>
  <cp:lastPrinted>2023-04-17T04:10:00Z</cp:lastPrinted>
  <dcterms:created xsi:type="dcterms:W3CDTF">2023-04-21T02:19:00Z</dcterms:created>
  <dcterms:modified xsi:type="dcterms:W3CDTF">2023-04-21T02:19:00Z</dcterms:modified>
</cp:coreProperties>
</file>